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3661379A"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proofErr w:type="spellStart"/>
      <w:r>
        <w:rPr>
          <w:rFonts w:ascii="Arial" w:eastAsia="Batang" w:hAnsi="Arial" w:cs="Arial"/>
          <w:b/>
          <w:bCs/>
          <w:sz w:val="28"/>
          <w:szCs w:val="24"/>
        </w:rPr>
        <w:t>3GPP</w:t>
      </w:r>
      <w:proofErr w:type="spellEnd"/>
      <w:r>
        <w:rPr>
          <w:rFonts w:ascii="Arial" w:eastAsia="Batang" w:hAnsi="Arial" w:cs="Arial"/>
          <w:b/>
          <w:bCs/>
          <w:sz w:val="28"/>
          <w:szCs w:val="24"/>
        </w:rPr>
        <w:t xml:space="preserve"> TSG RAN </w:t>
      </w:r>
      <w:proofErr w:type="spellStart"/>
      <w:r>
        <w:rPr>
          <w:rFonts w:ascii="Arial" w:eastAsia="Batang" w:hAnsi="Arial" w:cs="Arial"/>
          <w:b/>
          <w:bCs/>
          <w:sz w:val="28"/>
          <w:szCs w:val="24"/>
        </w:rPr>
        <w:t>WG1</w:t>
      </w:r>
      <w:proofErr w:type="spellEnd"/>
      <w:r>
        <w:rPr>
          <w:rFonts w:ascii="Arial" w:eastAsia="Batang" w:hAnsi="Arial" w:cs="Arial"/>
          <w:b/>
          <w:bCs/>
          <w:sz w:val="28"/>
          <w:szCs w:val="24"/>
        </w:rPr>
        <w:t xml:space="preserve"> </w:t>
      </w:r>
      <w:r w:rsidR="00DE6A00">
        <w:rPr>
          <w:rFonts w:ascii="Arial" w:eastAsia="Batang" w:hAnsi="Arial" w:cs="Arial"/>
          <w:b/>
          <w:bCs/>
          <w:sz w:val="28"/>
          <w:szCs w:val="24"/>
        </w:rPr>
        <w:t xml:space="preserve">#96                                                                    </w:t>
      </w:r>
      <w:proofErr w:type="spellStart"/>
      <w:r w:rsidR="00154769" w:rsidRPr="00154769">
        <w:rPr>
          <w:rFonts w:ascii="Arial" w:eastAsia="Batang" w:hAnsi="Arial" w:cs="Arial"/>
          <w:b/>
          <w:bCs/>
          <w:sz w:val="28"/>
          <w:szCs w:val="24"/>
        </w:rPr>
        <w:t>R1</w:t>
      </w:r>
      <w:proofErr w:type="spellEnd"/>
      <w:r w:rsidR="00154769" w:rsidRPr="00154769">
        <w:rPr>
          <w:rFonts w:ascii="Arial" w:eastAsia="Batang" w:hAnsi="Arial" w:cs="Arial"/>
          <w:b/>
          <w:bCs/>
          <w:sz w:val="28"/>
          <w:szCs w:val="24"/>
        </w:rPr>
        <w:t>-1902506</w:t>
      </w:r>
    </w:p>
    <w:p w14:paraId="1055EF62" w14:textId="38CBF326" w:rsidR="00927086" w:rsidRPr="002E16F4" w:rsidRDefault="00DE6A00"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CE19A4">
        <w:rPr>
          <w:rFonts w:ascii="Arial" w:eastAsia="MS Mincho" w:hAnsi="Arial" w:cs="Arial"/>
          <w:b/>
          <w:bCs/>
          <w:sz w:val="28"/>
          <w:szCs w:val="24"/>
          <w:lang w:eastAsia="ja-JP"/>
        </w:rPr>
        <w:t>Athens</w:t>
      </w:r>
      <w:r w:rsidRPr="00FB5C96">
        <w:rPr>
          <w:rFonts w:ascii="Arial" w:eastAsia="MS Mincho" w:hAnsi="Arial" w:cs="Arial"/>
          <w:b/>
          <w:bCs/>
          <w:sz w:val="28"/>
          <w:szCs w:val="24"/>
          <w:lang w:eastAsia="ja-JP"/>
        </w:rPr>
        <w:t xml:space="preserve">, </w:t>
      </w:r>
      <w:r>
        <w:rPr>
          <w:rFonts w:ascii="Arial" w:eastAsia="MS Mincho" w:hAnsi="Arial" w:cs="Arial"/>
          <w:b/>
          <w:bCs/>
          <w:sz w:val="28"/>
          <w:lang w:eastAsia="ja-JP"/>
        </w:rPr>
        <w:t>Greece</w:t>
      </w:r>
      <w:r>
        <w:rPr>
          <w:rFonts w:ascii="Arial" w:eastAsia="MS Mincho" w:hAnsi="Arial" w:cs="Arial"/>
          <w:b/>
          <w:bCs/>
          <w:sz w:val="28"/>
          <w:szCs w:val="24"/>
          <w:lang w:eastAsia="ja-JP"/>
        </w:rPr>
        <w:t>, 25</w:t>
      </w:r>
      <w:r>
        <w:rPr>
          <w:rFonts w:ascii="Arial" w:eastAsia="MS Mincho" w:hAnsi="Arial" w:cs="Arial"/>
          <w:b/>
          <w:bCs/>
          <w:sz w:val="28"/>
          <w:szCs w:val="24"/>
          <w:vertAlign w:val="superscript"/>
          <w:lang w:eastAsia="ja-JP"/>
        </w:rPr>
        <w:t>th</w:t>
      </w:r>
      <w:r w:rsidRPr="00DB6F5F">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 –</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1</w:t>
      </w:r>
      <w:r>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March, </w:t>
      </w:r>
      <w:r w:rsidR="00CB5D9C">
        <w:rPr>
          <w:rFonts w:ascii="Arial" w:eastAsia="MS Mincho" w:hAnsi="Arial" w:cs="Arial"/>
          <w:b/>
          <w:bCs/>
          <w:sz w:val="28"/>
          <w:szCs w:val="24"/>
          <w:lang w:eastAsia="ja-JP"/>
        </w:rPr>
        <w:t>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2A9E6E0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F689C" w:rsidRPr="001F689C">
        <w:rPr>
          <w:rFonts w:ascii="Arial" w:eastAsia="Malgun Gothic" w:hAnsi="Arial" w:cs="Arial"/>
          <w:b/>
          <w:sz w:val="24"/>
          <w:lang w:val="en-US" w:eastAsia="ko-KR"/>
        </w:rPr>
        <w:t>On Type II CSI higher rank extension</w:t>
      </w:r>
    </w:p>
    <w:p w14:paraId="3596330A" w14:textId="7287FF84"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61047C">
        <w:rPr>
          <w:rFonts w:ascii="Arial" w:hAnsi="Arial" w:cs="Arial"/>
          <w:b/>
          <w:sz w:val="24"/>
          <w:lang w:val="en-US"/>
        </w:rPr>
        <w:t>8</w:t>
      </w:r>
      <w:r w:rsidR="00466523">
        <w:rPr>
          <w:rFonts w:ascii="Arial" w:hAnsi="Arial" w:cs="Arial"/>
          <w:b/>
          <w:sz w:val="24"/>
          <w:lang w:val="en-US"/>
        </w:rPr>
        <w:t>.</w:t>
      </w:r>
      <w:r w:rsidR="005521D1">
        <w:rPr>
          <w:rFonts w:ascii="Arial" w:hAnsi="Arial" w:cs="Arial"/>
          <w:b/>
          <w:sz w:val="24"/>
          <w:lang w:val="en-US"/>
        </w:rPr>
        <w:t>6</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19FD4B3" w14:textId="177C26DF" w:rsidR="006F0407" w:rsidRPr="00B40AD2" w:rsidRDefault="00462AB7" w:rsidP="00B40AD2">
      <w:pPr>
        <w:spacing w:before="240" w:after="0"/>
        <w:rPr>
          <w:sz w:val="22"/>
          <w:lang w:eastAsia="ko-KR"/>
        </w:rPr>
      </w:pPr>
      <w:r>
        <w:rPr>
          <w:sz w:val="22"/>
          <w:lang w:eastAsia="ko-KR"/>
        </w:rPr>
        <w:t xml:space="preserve">At the </w:t>
      </w:r>
      <w:proofErr w:type="spellStart"/>
      <w:r>
        <w:rPr>
          <w:sz w:val="22"/>
          <w:lang w:eastAsia="ko-KR"/>
        </w:rPr>
        <w:t>3GPPRAN#81</w:t>
      </w:r>
      <w:proofErr w:type="spellEnd"/>
      <w:r>
        <w:rPr>
          <w:sz w:val="22"/>
          <w:lang w:eastAsia="ko-KR"/>
        </w:rPr>
        <w:t xml:space="preserve"> meeting </w:t>
      </w:r>
      <w:r w:rsidR="006F0407" w:rsidRPr="006F0407">
        <w:rPr>
          <w:sz w:val="22"/>
          <w:lang w:eastAsia="ko-KR"/>
        </w:rPr>
        <w:t>work item to specify enhancements for NR MIMO</w:t>
      </w:r>
      <w:r w:rsidR="00C119CA">
        <w:rPr>
          <w:sz w:val="22"/>
          <w:lang w:eastAsia="ko-KR"/>
        </w:rPr>
        <w:t xml:space="preserve"> </w:t>
      </w:r>
      <w:r>
        <w:rPr>
          <w:sz w:val="22"/>
          <w:lang w:eastAsia="ko-KR"/>
        </w:rPr>
        <w:t xml:space="preserve">was </w:t>
      </w:r>
      <w:r w:rsidR="00C119CA">
        <w:rPr>
          <w:sz w:val="22"/>
          <w:lang w:eastAsia="ko-KR"/>
        </w:rPr>
        <w:t>approved</w:t>
      </w:r>
      <w:r w:rsidR="006F0407" w:rsidRPr="006F0407">
        <w:rPr>
          <w:sz w:val="22"/>
          <w:lang w:eastAsia="ko-KR"/>
        </w:rPr>
        <w:t xml:space="preserve">. </w:t>
      </w:r>
      <w:r w:rsidR="00C57F2A">
        <w:rPr>
          <w:sz w:val="22"/>
          <w:lang w:eastAsia="ko-KR"/>
        </w:rPr>
        <w:t>O</w:t>
      </w:r>
      <w:r w:rsidR="006F0407" w:rsidRPr="006F0407">
        <w:rPr>
          <w:sz w:val="22"/>
          <w:lang w:eastAsia="ko-KR"/>
        </w:rPr>
        <w:t xml:space="preserve">bjectives </w:t>
      </w:r>
      <w:r w:rsidR="00C57F2A">
        <w:rPr>
          <w:sz w:val="22"/>
          <w:lang w:eastAsia="ko-KR"/>
        </w:rPr>
        <w:t>of the work item include</w:t>
      </w:r>
      <w:r>
        <w:rPr>
          <w:sz w:val="22"/>
          <w:lang w:eastAsia="ko-KR"/>
        </w:rPr>
        <w:t xml:space="preserve"> the following enhancements </w:t>
      </w:r>
      <w:r w:rsidR="00970279">
        <w:rPr>
          <w:sz w:val="22"/>
          <w:lang w:eastAsia="ko-KR"/>
        </w:rPr>
        <w:t>to CSI for</w:t>
      </w:r>
      <w:r>
        <w:rPr>
          <w:sz w:val="22"/>
          <w:lang w:eastAsia="ko-KR"/>
        </w:rPr>
        <w:t xml:space="preserve"> MU-MIMO</w:t>
      </w:r>
      <w:r w:rsidR="004B70A5">
        <w:rPr>
          <w:sz w:val="22"/>
          <w:lang w:eastAsia="ko-KR"/>
        </w:rPr>
        <w:t xml:space="preserve"> [1]</w:t>
      </w:r>
      <w:r w:rsidR="006F0407" w:rsidRPr="006F0407">
        <w:rPr>
          <w:sz w:val="22"/>
          <w:lang w:eastAsia="ko-KR"/>
        </w:rPr>
        <w:t xml:space="preserve">. </w:t>
      </w:r>
    </w:p>
    <w:p w14:paraId="5154CB79" w14:textId="77777777" w:rsidR="006F0407" w:rsidRPr="006F0407" w:rsidRDefault="006F0407" w:rsidP="00A8030D">
      <w:pPr>
        <w:numPr>
          <w:ilvl w:val="0"/>
          <w:numId w:val="11"/>
        </w:numPr>
        <w:snapToGrid w:val="0"/>
        <w:spacing w:before="240" w:after="120"/>
        <w:ind w:right="-99"/>
        <w:textAlignment w:val="auto"/>
        <w:rPr>
          <w:sz w:val="22"/>
          <w:lang w:eastAsia="ko-KR"/>
        </w:rPr>
      </w:pPr>
      <w:r w:rsidRPr="006F0407">
        <w:rPr>
          <w:sz w:val="22"/>
          <w:lang w:eastAsia="ko-KR"/>
        </w:rPr>
        <w:t>Specify overhead reduction, based on Type II CSI feedback</w:t>
      </w:r>
      <w:r w:rsidRPr="006F0407">
        <w:rPr>
          <w:rFonts w:eastAsia="Malgun Gothic" w:hint="eastAsia"/>
          <w:sz w:val="22"/>
          <w:lang w:eastAsia="ko-KR"/>
        </w:rPr>
        <w:t xml:space="preserve">, taking into account the </w:t>
      </w:r>
      <w:proofErr w:type="spellStart"/>
      <w:r w:rsidRPr="006F0407">
        <w:rPr>
          <w:rFonts w:eastAsia="Malgun Gothic" w:hint="eastAsia"/>
          <w:sz w:val="22"/>
          <w:lang w:eastAsia="ko-KR"/>
        </w:rPr>
        <w:t>tradeoff</w:t>
      </w:r>
      <w:proofErr w:type="spellEnd"/>
      <w:r w:rsidRPr="006F0407">
        <w:rPr>
          <w:rFonts w:eastAsia="Malgun Gothic" w:hint="eastAsia"/>
          <w:sz w:val="22"/>
          <w:lang w:eastAsia="ko-KR"/>
        </w:rPr>
        <w:t xml:space="preserve"> between performance and overhead </w:t>
      </w:r>
    </w:p>
    <w:p w14:paraId="2D6F4F1B" w14:textId="7A95B9B1" w:rsidR="00462AB7" w:rsidRDefault="006F0407" w:rsidP="00A8030D">
      <w:pPr>
        <w:numPr>
          <w:ilvl w:val="0"/>
          <w:numId w:val="11"/>
        </w:numPr>
        <w:snapToGrid w:val="0"/>
        <w:spacing w:after="0"/>
        <w:ind w:right="-99"/>
        <w:textAlignment w:val="auto"/>
        <w:rPr>
          <w:sz w:val="22"/>
          <w:lang w:eastAsia="ko-KR"/>
        </w:rPr>
      </w:pPr>
      <w:r w:rsidRPr="006F0407">
        <w:rPr>
          <w:rFonts w:hint="eastAsia"/>
          <w:sz w:val="22"/>
          <w:lang w:eastAsia="ko-KR"/>
        </w:rPr>
        <w:t xml:space="preserve">Perform study </w:t>
      </w:r>
      <w:r w:rsidRPr="006F0407">
        <w:rPr>
          <w:sz w:val="22"/>
          <w:lang w:eastAsia="ko-KR"/>
        </w:rPr>
        <w:t>and, if needed, specify extension of Type II CSI feedback to rank &gt;</w:t>
      </w:r>
      <w:r w:rsidR="005669E3">
        <w:rPr>
          <w:sz w:val="22"/>
          <w:lang w:eastAsia="ko-KR"/>
        </w:rPr>
        <w:t xml:space="preserve"> </w:t>
      </w:r>
      <w:r w:rsidRPr="006F0407">
        <w:rPr>
          <w:sz w:val="22"/>
          <w:lang w:eastAsia="ko-KR"/>
        </w:rPr>
        <w:t>2</w:t>
      </w:r>
    </w:p>
    <w:p w14:paraId="255088EF" w14:textId="5247DB50" w:rsidR="00B00ED2" w:rsidRDefault="00B00ED2" w:rsidP="00B40AD2">
      <w:pPr>
        <w:snapToGrid w:val="0"/>
        <w:spacing w:before="240" w:after="120"/>
        <w:ind w:right="-99"/>
        <w:jc w:val="both"/>
        <w:textAlignment w:val="auto"/>
        <w:rPr>
          <w:sz w:val="22"/>
          <w:lang w:eastAsia="ko-KR"/>
        </w:rPr>
      </w:pPr>
      <w:r>
        <w:rPr>
          <w:sz w:val="22"/>
          <w:lang w:eastAsia="ko-KR"/>
        </w:rPr>
        <w:t xml:space="preserve">The following agreement was made at </w:t>
      </w:r>
      <w:proofErr w:type="spellStart"/>
      <w:r>
        <w:rPr>
          <w:sz w:val="22"/>
          <w:lang w:eastAsia="ko-KR"/>
        </w:rPr>
        <w:t>RAN1#94b</w:t>
      </w:r>
      <w:proofErr w:type="spellEnd"/>
      <w:r>
        <w:rPr>
          <w:sz w:val="22"/>
          <w:lang w:eastAsia="ko-KR"/>
        </w:rPr>
        <w:t xml:space="preserve"> meeting</w:t>
      </w:r>
      <w:r w:rsidR="004B18C8">
        <w:rPr>
          <w:sz w:val="22"/>
          <w:lang w:eastAsia="ko-KR"/>
        </w:rPr>
        <w:t xml:space="preserve"> [2]</w:t>
      </w:r>
      <w:r>
        <w:rPr>
          <w:sz w:val="22"/>
          <w:lang w:eastAsia="ko-KR"/>
        </w:rPr>
        <w:t xml:space="preserve"> </w:t>
      </w:r>
      <w:proofErr w:type="spellStart"/>
      <w:r>
        <w:rPr>
          <w:sz w:val="22"/>
          <w:lang w:eastAsia="ko-KR"/>
        </w:rPr>
        <w:t>w.r.t</w:t>
      </w:r>
      <w:proofErr w:type="spellEnd"/>
      <w:r>
        <w:rPr>
          <w:sz w:val="22"/>
          <w:lang w:eastAsia="ko-KR"/>
        </w:rPr>
        <w:t>. Type II CSI feedback extension to rank &gt; 2.</w:t>
      </w:r>
    </w:p>
    <w:tbl>
      <w:tblPr>
        <w:tblStyle w:val="TableGrid"/>
        <w:tblW w:w="0" w:type="auto"/>
        <w:tblLook w:val="04A0" w:firstRow="1" w:lastRow="0" w:firstColumn="1" w:lastColumn="0" w:noHBand="0" w:noVBand="1"/>
      </w:tblPr>
      <w:tblGrid>
        <w:gridCol w:w="10160"/>
      </w:tblGrid>
      <w:tr w:rsidR="00B00ED2" w14:paraId="1EE7DA9E" w14:textId="77777777" w:rsidTr="00B00ED2">
        <w:tc>
          <w:tcPr>
            <w:tcW w:w="10160" w:type="dxa"/>
          </w:tcPr>
          <w:p w14:paraId="3FBA9293" w14:textId="77777777" w:rsidR="00B00ED2" w:rsidRPr="00D608E1" w:rsidRDefault="00B00ED2" w:rsidP="00B00ED2">
            <w:pPr>
              <w:pStyle w:val="Style1"/>
              <w:spacing w:after="0" w:line="240" w:lineRule="auto"/>
              <w:ind w:firstLine="0"/>
              <w:rPr>
                <w:b/>
                <w:highlight w:val="green"/>
                <w:lang w:val="en-US"/>
              </w:rPr>
            </w:pPr>
            <w:r w:rsidRPr="00CD4E8D">
              <w:rPr>
                <w:b/>
                <w:highlight w:val="green"/>
                <w:lang w:val="en-US"/>
              </w:rPr>
              <w:t>Agreement</w:t>
            </w:r>
          </w:p>
          <w:p w14:paraId="7395ED90" w14:textId="77777777" w:rsidR="00B00ED2" w:rsidRPr="00CD4E8D" w:rsidRDefault="00B00ED2" w:rsidP="00B00ED2">
            <w:pPr>
              <w:pStyle w:val="Style1"/>
              <w:spacing w:after="0" w:line="240" w:lineRule="auto"/>
              <w:ind w:firstLine="0"/>
              <w:rPr>
                <w:lang w:val="en-US"/>
              </w:rPr>
            </w:pPr>
            <w:r w:rsidRPr="00CD4E8D">
              <w:rPr>
                <w:lang w:val="en-US"/>
              </w:rPr>
              <w:t>The study and, if needed, work on Type II higher rank extension is performed as follows:</w:t>
            </w:r>
          </w:p>
          <w:p w14:paraId="59C7972F" w14:textId="77777777" w:rsidR="00B00ED2" w:rsidRPr="00CD4E8D" w:rsidRDefault="00B00ED2" w:rsidP="00B00ED2">
            <w:pPr>
              <w:pStyle w:val="Style1"/>
              <w:numPr>
                <w:ilvl w:val="0"/>
                <w:numId w:val="28"/>
              </w:numPr>
              <w:spacing w:after="0" w:line="240" w:lineRule="auto"/>
              <w:ind w:left="720" w:hanging="255"/>
              <w:rPr>
                <w:lang w:val="en-US"/>
              </w:rPr>
            </w:pPr>
            <w:r w:rsidRPr="00CD4E8D">
              <w:rPr>
                <w:lang w:val="en-US"/>
              </w:rPr>
              <w:t>Only for rank 3 and 4 by taking into account the outcome of Type II overhead reduction for rank 1-2</w:t>
            </w:r>
          </w:p>
          <w:p w14:paraId="0C7C7D84" w14:textId="56B29A4D" w:rsidR="00B00ED2" w:rsidRPr="00B00ED2" w:rsidRDefault="00B00ED2" w:rsidP="00927B75">
            <w:pPr>
              <w:pStyle w:val="Style1"/>
              <w:numPr>
                <w:ilvl w:val="0"/>
                <w:numId w:val="28"/>
              </w:numPr>
              <w:spacing w:line="240" w:lineRule="auto"/>
              <w:ind w:left="720" w:hanging="255"/>
              <w:rPr>
                <w:lang w:val="en-US"/>
              </w:rPr>
            </w:pPr>
            <w:r w:rsidRPr="00CD4E8D">
              <w:rPr>
                <w:lang w:val="en-US"/>
              </w:rPr>
              <w:t xml:space="preserve">Simple extension of </w:t>
            </w:r>
            <w:proofErr w:type="spellStart"/>
            <w:r w:rsidRPr="00CD4E8D">
              <w:rPr>
                <w:lang w:val="en-US"/>
              </w:rPr>
              <w:t>Rel.15</w:t>
            </w:r>
            <w:proofErr w:type="spellEnd"/>
            <w:r w:rsidRPr="00CD4E8D">
              <w:rPr>
                <w:lang w:val="en-US"/>
              </w:rPr>
              <w:t xml:space="preserve"> Type II without any additional optimization (which results in ~3-</w:t>
            </w:r>
            <w:proofErr w:type="spellStart"/>
            <w:r w:rsidRPr="00CD4E8D">
              <w:rPr>
                <w:lang w:val="en-US"/>
              </w:rPr>
              <w:t>4x</w:t>
            </w:r>
            <w:proofErr w:type="spellEnd"/>
            <w:r w:rsidRPr="00CD4E8D">
              <w:rPr>
                <w:lang w:val="en-US"/>
              </w:rPr>
              <w:t xml:space="preserve"> overhead over rank-1) is ruled out</w:t>
            </w:r>
          </w:p>
        </w:tc>
      </w:tr>
    </w:tbl>
    <w:p w14:paraId="759CF52A" w14:textId="5DCEFBF6" w:rsidR="008979C4" w:rsidRDefault="00406770" w:rsidP="00B40AD2">
      <w:pPr>
        <w:snapToGrid w:val="0"/>
        <w:spacing w:before="240" w:after="120"/>
        <w:ind w:right="-99"/>
        <w:jc w:val="both"/>
        <w:textAlignment w:val="auto"/>
        <w:rPr>
          <w:sz w:val="22"/>
          <w:lang w:eastAsia="ko-KR"/>
        </w:rPr>
      </w:pPr>
      <w:r w:rsidRPr="00406770">
        <w:rPr>
          <w:sz w:val="22"/>
          <w:lang w:eastAsia="ko-KR"/>
        </w:rPr>
        <w:t>Simple extension of Rel.</w:t>
      </w:r>
      <w:r>
        <w:rPr>
          <w:sz w:val="22"/>
          <w:lang w:eastAsia="ko-KR"/>
        </w:rPr>
        <w:t xml:space="preserve"> </w:t>
      </w:r>
      <w:r w:rsidRPr="00406770">
        <w:rPr>
          <w:sz w:val="22"/>
          <w:lang w:eastAsia="ko-KR"/>
        </w:rPr>
        <w:t>15 Type II</w:t>
      </w:r>
      <w:r>
        <w:rPr>
          <w:sz w:val="22"/>
          <w:lang w:eastAsia="ko-KR"/>
        </w:rPr>
        <w:t xml:space="preserve"> CSI to higher ranks</w:t>
      </w:r>
      <w:r w:rsidRPr="00406770">
        <w:rPr>
          <w:sz w:val="22"/>
          <w:lang w:eastAsia="ko-KR"/>
        </w:rPr>
        <w:t xml:space="preserve"> without any additional optimization</w:t>
      </w:r>
      <w:r>
        <w:rPr>
          <w:sz w:val="22"/>
          <w:lang w:eastAsia="ko-KR"/>
        </w:rPr>
        <w:t xml:space="preserve"> is ruled out due to extremely high</w:t>
      </w:r>
      <w:r w:rsidR="00DD39F0">
        <w:rPr>
          <w:sz w:val="22"/>
          <w:lang w:eastAsia="ko-KR"/>
        </w:rPr>
        <w:t xml:space="preserve"> CSI</w:t>
      </w:r>
      <w:r>
        <w:rPr>
          <w:sz w:val="22"/>
          <w:lang w:eastAsia="ko-KR"/>
        </w:rPr>
        <w:t xml:space="preserve"> feedback overhead. In [3]</w:t>
      </w:r>
      <w:r w:rsidR="00611D49">
        <w:rPr>
          <w:sz w:val="22"/>
          <w:lang w:eastAsia="ko-KR"/>
        </w:rPr>
        <w:t xml:space="preserve"> it is showed that feedback overhead can be controlled by limiting maximum number</w:t>
      </w:r>
      <w:r w:rsidR="00643668">
        <w:rPr>
          <w:sz w:val="22"/>
          <w:lang w:eastAsia="ko-KR"/>
        </w:rPr>
        <w:t xml:space="preserve"> of</w:t>
      </w:r>
      <w:r w:rsidR="00611D49">
        <w:rPr>
          <w:sz w:val="22"/>
          <w:lang w:eastAsia="ko-KR"/>
        </w:rPr>
        <w:t xml:space="preserve"> </w:t>
      </w:r>
      <w:r w:rsidR="00DD39F0">
        <w:rPr>
          <w:sz w:val="22"/>
          <w:lang w:eastAsia="ko-KR"/>
        </w:rPr>
        <w:t>reported</w:t>
      </w:r>
      <w:r w:rsidR="00611D49">
        <w:rPr>
          <w:sz w:val="22"/>
          <w:lang w:eastAsia="ko-KR"/>
        </w:rPr>
        <w:t xml:space="preserve"> beam combining coefficients. In this contribution we provide performance evaluation results for extension of Rel. 15 Type II CSI feedback to higher ranks with </w:t>
      </w:r>
      <w:r w:rsidR="00892B1B">
        <w:rPr>
          <w:sz w:val="22"/>
          <w:lang w:eastAsia="ko-KR"/>
        </w:rPr>
        <w:t>different</w:t>
      </w:r>
      <w:r w:rsidR="00611D49">
        <w:rPr>
          <w:sz w:val="22"/>
          <w:lang w:eastAsia="ko-KR"/>
        </w:rPr>
        <w:t xml:space="preserve"> number of </w:t>
      </w:r>
      <w:r w:rsidR="00DD39F0">
        <w:rPr>
          <w:sz w:val="22"/>
          <w:lang w:eastAsia="ko-KR"/>
        </w:rPr>
        <w:t>reported</w:t>
      </w:r>
      <w:r w:rsidR="00611D49">
        <w:rPr>
          <w:sz w:val="22"/>
          <w:lang w:eastAsia="ko-KR"/>
        </w:rPr>
        <w:t xml:space="preserve"> beam combining coefficients.</w:t>
      </w:r>
    </w:p>
    <w:p w14:paraId="6995A76F" w14:textId="23FDBF00" w:rsidR="00443747" w:rsidRPr="00CF623B" w:rsidRDefault="00790513" w:rsidP="00CF623B">
      <w:pPr>
        <w:pStyle w:val="Heading1"/>
        <w:numPr>
          <w:ilvl w:val="0"/>
          <w:numId w:val="5"/>
        </w:numPr>
        <w:spacing w:before="120" w:after="60"/>
        <w:jc w:val="both"/>
        <w:rPr>
          <w:rFonts w:cs="Arial"/>
          <w:lang w:val="en-US"/>
        </w:rPr>
      </w:pPr>
      <w:r>
        <w:rPr>
          <w:rFonts w:cs="Arial"/>
          <w:lang w:val="en-US"/>
        </w:rPr>
        <w:t>Discussion</w:t>
      </w:r>
    </w:p>
    <w:p w14:paraId="3AFF0217" w14:textId="3D52BFF4" w:rsidR="002B657A" w:rsidRDefault="00D61525" w:rsidP="002B657A">
      <w:pPr>
        <w:jc w:val="both"/>
        <w:rPr>
          <w:sz w:val="22"/>
        </w:rPr>
      </w:pPr>
      <w:r>
        <w:rPr>
          <w:sz w:val="22"/>
        </w:rPr>
        <w:t>Design of Rel. 15 Type II CSI feedback assumes that beam combining coefficients with zero wideband amplitude are not reported by the UE, thus, dynamic overhead reduction is achieved. Maximum CSI reporting overhead is determined by the maximum number of</w:t>
      </w:r>
      <w:r w:rsidR="00D86FCF">
        <w:rPr>
          <w:sz w:val="22"/>
        </w:rPr>
        <w:t xml:space="preserve"> reported</w:t>
      </w:r>
      <w:r>
        <w:rPr>
          <w:sz w:val="22"/>
        </w:rPr>
        <w:t xml:space="preserve"> beam combining coefficients (</w:t>
      </w:r>
      <w:r w:rsidRPr="00D61525">
        <w:rPr>
          <w:i/>
          <w:sz w:val="22"/>
        </w:rPr>
        <w:t>M</w:t>
      </w:r>
      <w:r>
        <w:rPr>
          <w:sz w:val="22"/>
        </w:rPr>
        <w:t>) which is calculated from value of rank (</w:t>
      </w:r>
      <w:r w:rsidRPr="00D61525">
        <w:rPr>
          <w:i/>
          <w:sz w:val="22"/>
        </w:rPr>
        <w:t>R</w:t>
      </w:r>
      <w:r>
        <w:rPr>
          <w:sz w:val="22"/>
        </w:rPr>
        <w:t>) and number of beams in linear combination (</w:t>
      </w:r>
      <w:r w:rsidRPr="00D61525">
        <w:rPr>
          <w:i/>
          <w:sz w:val="22"/>
        </w:rPr>
        <w:t>L</w:t>
      </w:r>
      <w:r>
        <w:rPr>
          <w:sz w:val="22"/>
        </w:rPr>
        <w:t>) according</w:t>
      </w:r>
      <w:r w:rsidR="002B657A">
        <w:rPr>
          <w:sz w:val="22"/>
        </w:rPr>
        <w:t xml:space="preserve"> to</w:t>
      </w:r>
      <w:r>
        <w:rPr>
          <w:sz w:val="22"/>
        </w:rPr>
        <w:t xml:space="preserve"> equation</w:t>
      </w:r>
      <w:r w:rsidR="002B657A">
        <w:rPr>
          <w:sz w:val="22"/>
        </w:rPr>
        <w:t xml:space="preserve"> </w:t>
      </w:r>
      <w:r w:rsidR="002B657A" w:rsidRPr="002B657A">
        <w:rPr>
          <w:i/>
          <w:sz w:val="22"/>
        </w:rPr>
        <w:t>M</w:t>
      </w:r>
      <w:r w:rsidR="002B657A">
        <w:rPr>
          <w:sz w:val="22"/>
        </w:rPr>
        <w:t xml:space="preserve"> = </w:t>
      </w:r>
      <w:r w:rsidR="002B657A" w:rsidRPr="002B657A">
        <w:rPr>
          <w:i/>
          <w:sz w:val="22"/>
        </w:rPr>
        <w:t>R</w:t>
      </w:r>
      <w:r w:rsidR="002B657A">
        <w:rPr>
          <w:sz w:val="22"/>
        </w:rPr>
        <w:t>∙(</w:t>
      </w:r>
      <w:proofErr w:type="spellStart"/>
      <w:r w:rsidR="002B657A">
        <w:rPr>
          <w:sz w:val="22"/>
        </w:rPr>
        <w:t>2</w:t>
      </w:r>
      <w:r w:rsidR="002B657A" w:rsidRPr="002B657A">
        <w:rPr>
          <w:i/>
          <w:sz w:val="22"/>
        </w:rPr>
        <w:t>L</w:t>
      </w:r>
      <w:proofErr w:type="spellEnd"/>
      <w:r w:rsidR="002B657A">
        <w:rPr>
          <w:sz w:val="22"/>
        </w:rPr>
        <w:t xml:space="preserve"> - 1). As it can be seen from the above equation, maximum number of reported coefficients linearly scales with rank value, hence</w:t>
      </w:r>
      <w:r w:rsidR="004433C2">
        <w:rPr>
          <w:sz w:val="22"/>
        </w:rPr>
        <w:t>,</w:t>
      </w:r>
      <w:r w:rsidR="002B657A">
        <w:rPr>
          <w:sz w:val="22"/>
        </w:rPr>
        <w:t xml:space="preserve"> straightforward extension of Type II CSI feedback to rank 3 and 4 le</w:t>
      </w:r>
      <w:r w:rsidR="004433C2">
        <w:rPr>
          <w:sz w:val="22"/>
        </w:rPr>
        <w:t xml:space="preserve">ads to almost linear increase of </w:t>
      </w:r>
      <w:r w:rsidR="002B657A">
        <w:rPr>
          <w:sz w:val="22"/>
        </w:rPr>
        <w:t xml:space="preserve">overhead. </w:t>
      </w:r>
    </w:p>
    <w:p w14:paraId="7F1B1422" w14:textId="71477C0C" w:rsidR="00AD6977" w:rsidRDefault="002B657A" w:rsidP="001B5397">
      <w:pPr>
        <w:jc w:val="both"/>
        <w:rPr>
          <w:sz w:val="22"/>
        </w:rPr>
      </w:pPr>
      <w:r>
        <w:rPr>
          <w:sz w:val="22"/>
        </w:rPr>
        <w:t xml:space="preserve">Reporting overhead can be controlled by limiting number of reported coefficients </w:t>
      </w:r>
      <w:r w:rsidRPr="002B657A">
        <w:rPr>
          <w:i/>
          <w:sz w:val="22"/>
        </w:rPr>
        <w:t>M</w:t>
      </w:r>
      <w:r>
        <w:rPr>
          <w:i/>
          <w:sz w:val="22"/>
        </w:rPr>
        <w:t>.</w:t>
      </w:r>
      <w:r>
        <w:rPr>
          <w:sz w:val="22"/>
        </w:rPr>
        <w:t xml:space="preserve"> Not reported beam combining coefficients are treated as coefficients with zero wideband amplitude, i.e. subset of reported coefficients </w:t>
      </w:r>
      <w:r w:rsidR="00927B75">
        <w:rPr>
          <w:sz w:val="22"/>
        </w:rPr>
        <w:t>is</w:t>
      </w:r>
      <w:r>
        <w:rPr>
          <w:sz w:val="22"/>
        </w:rPr>
        <w:t xml:space="preserve"> indicated </w:t>
      </w:r>
      <w:r w:rsidR="002935B2">
        <w:rPr>
          <w:sz w:val="22"/>
        </w:rPr>
        <w:t>by reporting of</w:t>
      </w:r>
      <w:r w:rsidR="00927B75">
        <w:rPr>
          <w:sz w:val="22"/>
        </w:rPr>
        <w:t xml:space="preserve"> non-zero</w:t>
      </w:r>
      <w:r>
        <w:rPr>
          <w:sz w:val="22"/>
        </w:rPr>
        <w:t xml:space="preserve"> wideband amplitude, </w:t>
      </w:r>
      <w:proofErr w:type="gramStart"/>
      <w:r>
        <w:rPr>
          <w:sz w:val="22"/>
        </w:rPr>
        <w:t>hence</w:t>
      </w:r>
      <w:proofErr w:type="gramEnd"/>
      <w:r>
        <w:rPr>
          <w:sz w:val="22"/>
        </w:rPr>
        <w:t>, existing UCI structure</w:t>
      </w:r>
      <w:r w:rsidR="003D14FD">
        <w:rPr>
          <w:sz w:val="22"/>
        </w:rPr>
        <w:t xml:space="preserve"> and PMI search algorithm</w:t>
      </w:r>
      <w:r>
        <w:rPr>
          <w:sz w:val="22"/>
        </w:rPr>
        <w:t xml:space="preserve"> can be reused. </w:t>
      </w:r>
      <w:r w:rsidR="0054418D">
        <w:rPr>
          <w:sz w:val="22"/>
        </w:rPr>
        <w:t>This method of overhead reduction can be illustrated by the following example</w:t>
      </w:r>
      <w:r w:rsidR="00C262FD">
        <w:rPr>
          <w:sz w:val="22"/>
        </w:rPr>
        <w:t xml:space="preserve"> (Figure 1)</w:t>
      </w:r>
      <w:r w:rsidR="0054418D">
        <w:rPr>
          <w:sz w:val="22"/>
        </w:rPr>
        <w:t xml:space="preserve">. </w:t>
      </w:r>
      <w:r w:rsidR="00C262FD">
        <w:rPr>
          <w:sz w:val="22"/>
        </w:rPr>
        <w:t>Suppose that UE is configured with reporting of rank 4</w:t>
      </w:r>
      <w:r w:rsidR="00927B75">
        <w:rPr>
          <w:sz w:val="22"/>
        </w:rPr>
        <w:t xml:space="preserve"> (</w:t>
      </w:r>
      <w:r w:rsidR="00927B75" w:rsidRPr="00927B75">
        <w:rPr>
          <w:i/>
          <w:sz w:val="22"/>
        </w:rPr>
        <w:t>R</w:t>
      </w:r>
      <w:r w:rsidR="00927B75">
        <w:rPr>
          <w:sz w:val="22"/>
        </w:rPr>
        <w:t xml:space="preserve"> = 4)</w:t>
      </w:r>
      <w:r w:rsidR="00C262FD">
        <w:rPr>
          <w:sz w:val="22"/>
        </w:rPr>
        <w:t xml:space="preserve"> Type II </w:t>
      </w:r>
      <w:r w:rsidR="0064240B">
        <w:rPr>
          <w:sz w:val="22"/>
        </w:rPr>
        <w:t>PMI</w:t>
      </w:r>
      <w:r w:rsidR="00C262FD">
        <w:rPr>
          <w:sz w:val="22"/>
        </w:rPr>
        <w:t xml:space="preserve"> with </w:t>
      </w:r>
      <w:r w:rsidR="00C262FD" w:rsidRPr="00C262FD">
        <w:rPr>
          <w:i/>
          <w:sz w:val="22"/>
        </w:rPr>
        <w:t>L</w:t>
      </w:r>
      <w:r w:rsidR="00927B75">
        <w:rPr>
          <w:sz w:val="22"/>
        </w:rPr>
        <w:t xml:space="preserve"> = 4.</w:t>
      </w:r>
      <w:r w:rsidR="00C262FD">
        <w:rPr>
          <w:sz w:val="22"/>
        </w:rPr>
        <w:t xml:space="preserve"> </w:t>
      </w:r>
      <w:r w:rsidR="00927B75">
        <w:rPr>
          <w:sz w:val="22"/>
        </w:rPr>
        <w:t>W</w:t>
      </w:r>
      <w:r w:rsidR="00C262FD">
        <w:rPr>
          <w:sz w:val="22"/>
        </w:rPr>
        <w:t>ideband amplitude coefficients</w:t>
      </w:r>
      <w:r w:rsidR="00927B75">
        <w:rPr>
          <w:sz w:val="22"/>
        </w:rPr>
        <w:t xml:space="preserve"> reported by the UE </w:t>
      </w:r>
      <w:r w:rsidR="00AB7EF3">
        <w:rPr>
          <w:sz w:val="22"/>
        </w:rPr>
        <w:t>are</w:t>
      </w:r>
      <w:r w:rsidR="00C262FD">
        <w:rPr>
          <w:sz w:val="22"/>
        </w:rPr>
        <w:t xml:space="preserve"> </w:t>
      </w:r>
      <w:r w:rsidR="00C262FD" w:rsidRPr="00C262FD">
        <w:rPr>
          <w:position w:val="-16"/>
          <w:sz w:val="22"/>
        </w:rPr>
        <w:object w:dxaOrig="480" w:dyaOrig="480" w14:anchorId="26412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v:imagedata r:id="rId11" o:title=""/>
          </v:shape>
          <o:OLEObject Type="Embed" ProgID="Equation.DSMT4" ShapeID="_x0000_i1025" DrawAspect="Content" ObjectID="_1611771707" r:id="rId12"/>
        </w:object>
      </w:r>
      <w:r w:rsidR="00C262FD">
        <w:rPr>
          <w:sz w:val="22"/>
        </w:rPr>
        <w:t xml:space="preserve">, where </w:t>
      </w:r>
      <w:r w:rsidR="00927B75" w:rsidRPr="00C262FD">
        <w:rPr>
          <w:i/>
          <w:sz w:val="22"/>
        </w:rPr>
        <w:t>i</w:t>
      </w:r>
      <w:r w:rsidR="00927B75">
        <w:rPr>
          <w:sz w:val="22"/>
        </w:rPr>
        <w:t xml:space="preserve"> = 1,2,…,</w:t>
      </w:r>
      <w:proofErr w:type="spellStart"/>
      <w:r w:rsidR="00927B75">
        <w:rPr>
          <w:sz w:val="22"/>
        </w:rPr>
        <w:t>2</w:t>
      </w:r>
      <w:r w:rsidR="00927B75" w:rsidRPr="00C262FD">
        <w:rPr>
          <w:i/>
          <w:sz w:val="22"/>
        </w:rPr>
        <w:t>L</w:t>
      </w:r>
      <w:proofErr w:type="spellEnd"/>
      <w:r w:rsidR="00C262FD">
        <w:rPr>
          <w:sz w:val="22"/>
        </w:rPr>
        <w:t xml:space="preserve"> is index of DFT beam and polarization, </w:t>
      </w:r>
      <w:r w:rsidR="00927B75" w:rsidRPr="00C262FD">
        <w:rPr>
          <w:i/>
          <w:sz w:val="22"/>
        </w:rPr>
        <w:t>l</w:t>
      </w:r>
      <w:r w:rsidR="00927B75">
        <w:rPr>
          <w:sz w:val="22"/>
        </w:rPr>
        <w:t xml:space="preserve"> = 1,2,…,</w:t>
      </w:r>
      <w:r w:rsidR="00927B75" w:rsidRPr="00927B75">
        <w:rPr>
          <w:i/>
          <w:sz w:val="22"/>
        </w:rPr>
        <w:t>R</w:t>
      </w:r>
      <w:r w:rsidR="00C262FD">
        <w:rPr>
          <w:sz w:val="22"/>
        </w:rPr>
        <w:t xml:space="preserve"> is index of spatial layer. </w:t>
      </w:r>
      <w:r w:rsidR="00AB7EF3">
        <w:rPr>
          <w:sz w:val="22"/>
        </w:rPr>
        <w:t xml:space="preserve">In that example </w:t>
      </w:r>
      <w:r w:rsidR="00C262FD">
        <w:rPr>
          <w:sz w:val="22"/>
        </w:rPr>
        <w:t xml:space="preserve">UE is also configured with the maximum number of reported </w:t>
      </w:r>
      <w:proofErr w:type="gramStart"/>
      <w:r w:rsidR="00C262FD">
        <w:rPr>
          <w:sz w:val="22"/>
        </w:rPr>
        <w:t xml:space="preserve">coefficients </w:t>
      </w:r>
      <w:proofErr w:type="gramEnd"/>
      <w:r w:rsidR="00AB7EF3" w:rsidRPr="00C262FD">
        <w:rPr>
          <w:position w:val="-12"/>
          <w:sz w:val="22"/>
        </w:rPr>
        <w:object w:dxaOrig="1560" w:dyaOrig="360" w14:anchorId="0D9ABC3E">
          <v:shape id="_x0000_i1027" type="#_x0000_t75" style="width:78pt;height:18pt" o:ole="">
            <v:imagedata r:id="rId13" o:title=""/>
          </v:shape>
          <o:OLEObject Type="Embed" ProgID="Equation.DSMT4" ShapeID="_x0000_i1027" DrawAspect="Content" ObjectID="_1611771708" r:id="rId14"/>
        </w:object>
      </w:r>
      <w:r w:rsidR="00C262FD">
        <w:rPr>
          <w:sz w:val="22"/>
        </w:rPr>
        <w:t xml:space="preserve">, where </w:t>
      </w:r>
      <w:r w:rsidR="00C262FD" w:rsidRPr="00C262FD">
        <w:rPr>
          <w:i/>
          <w:sz w:val="22"/>
        </w:rPr>
        <w:lastRenderedPageBreak/>
        <w:t>G</w:t>
      </w:r>
      <w:r w:rsidR="00C262FD">
        <w:rPr>
          <w:sz w:val="22"/>
        </w:rPr>
        <w:t xml:space="preserve"> = 1/</w:t>
      </w:r>
      <w:r w:rsidR="00153DA9">
        <w:rPr>
          <w:sz w:val="22"/>
        </w:rPr>
        <w:t xml:space="preserve">2. Thus, wideband amplitude of </w:t>
      </w:r>
      <w:r w:rsidR="003A52FA">
        <w:rPr>
          <w:sz w:val="22"/>
        </w:rPr>
        <w:t xml:space="preserve">at least </w:t>
      </w:r>
      <w:r w:rsidR="00CF7502" w:rsidRPr="00C262FD">
        <w:rPr>
          <w:position w:val="-4"/>
          <w:sz w:val="22"/>
        </w:rPr>
        <w:object w:dxaOrig="1020" w:dyaOrig="240" w14:anchorId="136CCCA7">
          <v:shape id="_x0000_i1028" type="#_x0000_t75" style="width:51pt;height:12pt" o:ole="">
            <v:imagedata r:id="rId15" o:title=""/>
          </v:shape>
          <o:OLEObject Type="Embed" ProgID="Equation.DSMT4" ShapeID="_x0000_i1028" DrawAspect="Content" ObjectID="_1611771709" r:id="rId16"/>
        </w:object>
      </w:r>
      <w:r w:rsidR="00C262FD">
        <w:rPr>
          <w:sz w:val="22"/>
        </w:rPr>
        <w:t xml:space="preserve">coefficients should be set to zero, so </w:t>
      </w:r>
      <w:proofErr w:type="spellStart"/>
      <w:r w:rsidR="00C262FD">
        <w:rPr>
          <w:sz w:val="22"/>
        </w:rPr>
        <w:t>subband</w:t>
      </w:r>
      <w:proofErr w:type="spellEnd"/>
      <w:r w:rsidR="00C262FD">
        <w:rPr>
          <w:sz w:val="22"/>
        </w:rPr>
        <w:t xml:space="preserve"> phase of those coefficients is not reported and thus overhead reduction is achieved.</w:t>
      </w:r>
      <w:r w:rsidR="0064240B">
        <w:rPr>
          <w:sz w:val="22"/>
        </w:rPr>
        <w:t xml:space="preserve"> Maximum number of bits required for rank 4 PMI reporting with such configuration is close to number of bits required for rank 2 PMI reporting. </w:t>
      </w:r>
    </w:p>
    <w:p w14:paraId="62E1AF6D" w14:textId="42A2772D" w:rsidR="0054418D" w:rsidRDefault="0054418D" w:rsidP="0054418D">
      <w:pPr>
        <w:jc w:val="center"/>
        <w:rPr>
          <w:sz w:val="22"/>
        </w:rPr>
      </w:pPr>
      <w:r w:rsidRPr="0054418D">
        <w:rPr>
          <w:position w:val="-188"/>
          <w:sz w:val="22"/>
        </w:rPr>
        <w:object w:dxaOrig="6759" w:dyaOrig="3900" w14:anchorId="6DC2E40B">
          <v:shape id="_x0000_i1026" type="#_x0000_t75" style="width:337.8pt;height:195pt" o:ole="">
            <v:imagedata r:id="rId17" o:title=""/>
          </v:shape>
          <o:OLEObject Type="Embed" ProgID="Equation.DSMT4" ShapeID="_x0000_i1026" DrawAspect="Content" ObjectID="_1611771710" r:id="rId18"/>
        </w:object>
      </w:r>
    </w:p>
    <w:p w14:paraId="68B36D02" w14:textId="405B5D8C" w:rsidR="0054418D" w:rsidRDefault="0054418D" w:rsidP="0054418D">
      <w:pPr>
        <w:jc w:val="center"/>
        <w:rPr>
          <w:sz w:val="22"/>
        </w:rPr>
      </w:pPr>
      <w:r w:rsidRPr="00E941B2">
        <w:rPr>
          <w:b/>
          <w:sz w:val="22"/>
        </w:rPr>
        <w:t>Figure 1</w:t>
      </w:r>
      <w:r>
        <w:rPr>
          <w:sz w:val="22"/>
        </w:rPr>
        <w:t>. Example of Type II CSI reporting with limited number of non-zero coefficients</w:t>
      </w:r>
    </w:p>
    <w:p w14:paraId="71E88162" w14:textId="246E6E66" w:rsidR="004D3598" w:rsidRDefault="00DD39F0" w:rsidP="001B5397">
      <w:pPr>
        <w:jc w:val="both"/>
        <w:rPr>
          <w:sz w:val="22"/>
        </w:rPr>
      </w:pPr>
      <w:r>
        <w:rPr>
          <w:sz w:val="22"/>
        </w:rPr>
        <w:t>In order to verify the performance of Type II CSI feedback with limited number of reported coefficients, system level evaluations were carried out for Dense Urban scenario with 16 antenna ports at the base station.</w:t>
      </w:r>
      <w:r w:rsidR="009979EE">
        <w:rPr>
          <w:sz w:val="22"/>
        </w:rPr>
        <w:t xml:space="preserve"> The detailed evaluation assumptions can be found in the Appendix</w:t>
      </w:r>
      <w:r w:rsidR="00A935A0">
        <w:rPr>
          <w:sz w:val="22"/>
        </w:rPr>
        <w:t>.</w:t>
      </w:r>
      <w:r w:rsidR="001A2F4F">
        <w:rPr>
          <w:sz w:val="22"/>
        </w:rPr>
        <w:t xml:space="preserve"> Rel. 15 Type II CSI with four DFT beams (</w:t>
      </w:r>
      <w:r w:rsidR="001A2F4F" w:rsidRPr="00311856">
        <w:rPr>
          <w:i/>
          <w:sz w:val="22"/>
        </w:rPr>
        <w:t>L</w:t>
      </w:r>
      <w:r w:rsidR="001A2F4F">
        <w:rPr>
          <w:sz w:val="22"/>
        </w:rPr>
        <w:t xml:space="preserve"> = 4) is assumed for rank 1 and 2</w:t>
      </w:r>
      <w:r w:rsidR="00D34AB1">
        <w:rPr>
          <w:sz w:val="22"/>
        </w:rPr>
        <w:t>.</w:t>
      </w:r>
      <w:r w:rsidR="005C5C74">
        <w:rPr>
          <w:sz w:val="22"/>
        </w:rPr>
        <w:t xml:space="preserve"> </w:t>
      </w:r>
      <w:r w:rsidR="00D34AB1">
        <w:rPr>
          <w:sz w:val="22"/>
        </w:rPr>
        <w:t>D</w:t>
      </w:r>
      <w:r w:rsidR="005C5C74">
        <w:rPr>
          <w:sz w:val="22"/>
        </w:rPr>
        <w:t>ifferent</w:t>
      </w:r>
      <w:r w:rsidR="0090604B">
        <w:rPr>
          <w:sz w:val="22"/>
        </w:rPr>
        <w:t xml:space="preserve"> CSI</w:t>
      </w:r>
      <w:r w:rsidR="005C5C74">
        <w:rPr>
          <w:sz w:val="22"/>
        </w:rPr>
        <w:t xml:space="preserve"> configurations </w:t>
      </w:r>
      <w:r w:rsidR="0090604B">
        <w:rPr>
          <w:sz w:val="22"/>
        </w:rPr>
        <w:t>are</w:t>
      </w:r>
      <w:r w:rsidR="005C5C74">
        <w:rPr>
          <w:sz w:val="22"/>
        </w:rPr>
        <w:t xml:space="preserve"> assumed</w:t>
      </w:r>
      <w:r w:rsidR="00D34AB1" w:rsidRPr="00D34AB1">
        <w:rPr>
          <w:sz w:val="22"/>
        </w:rPr>
        <w:t xml:space="preserve"> </w:t>
      </w:r>
      <w:r w:rsidR="00D34AB1">
        <w:rPr>
          <w:sz w:val="22"/>
        </w:rPr>
        <w:t>for rank 3 and 4, including extension of Rel. 15 Type II CSI with different number of DFT beams (</w:t>
      </w:r>
      <w:r w:rsidR="00D34AB1" w:rsidRPr="00311856">
        <w:rPr>
          <w:i/>
          <w:sz w:val="22"/>
        </w:rPr>
        <w:t>L</w:t>
      </w:r>
      <w:r w:rsidR="00D34AB1">
        <w:rPr>
          <w:sz w:val="22"/>
        </w:rPr>
        <w:t>) and different number of reported beam combining coefficients</w:t>
      </w:r>
      <w:r w:rsidR="00897B2D">
        <w:rPr>
          <w:sz w:val="22"/>
        </w:rPr>
        <w:t xml:space="preserve"> (</w:t>
      </w:r>
      <w:r w:rsidR="00897B2D" w:rsidRPr="00E3193F">
        <w:rPr>
          <w:i/>
          <w:sz w:val="22"/>
        </w:rPr>
        <w:t>M</w:t>
      </w:r>
      <w:r w:rsidR="00897B2D">
        <w:rPr>
          <w:sz w:val="22"/>
        </w:rPr>
        <w:t>)</w:t>
      </w:r>
      <w:r w:rsidR="001A2F4F">
        <w:rPr>
          <w:sz w:val="22"/>
        </w:rPr>
        <w:t>.</w:t>
      </w:r>
      <w:r w:rsidR="0090414D">
        <w:rPr>
          <w:sz w:val="22"/>
        </w:rPr>
        <w:t xml:space="preserve"> 8-</w:t>
      </w:r>
      <w:proofErr w:type="spellStart"/>
      <w:r w:rsidR="0090414D">
        <w:rPr>
          <w:sz w:val="22"/>
        </w:rPr>
        <w:t>PSK</w:t>
      </w:r>
      <w:proofErr w:type="spellEnd"/>
      <w:r w:rsidR="0090414D">
        <w:rPr>
          <w:sz w:val="22"/>
        </w:rPr>
        <w:t xml:space="preserve"> phase quantization and wideband amplitude reporting is assumed for Type II CSI.</w:t>
      </w:r>
    </w:p>
    <w:p w14:paraId="559027E1" w14:textId="7CAAECCF" w:rsidR="00F177CE" w:rsidRDefault="00F177CE" w:rsidP="00016DCF">
      <w:pPr>
        <w:jc w:val="center"/>
        <w:rPr>
          <w:sz w:val="22"/>
        </w:rPr>
      </w:pPr>
      <w:r w:rsidRPr="00524DBE">
        <w:rPr>
          <w:b/>
          <w:sz w:val="22"/>
        </w:rPr>
        <w:t>Table 1</w:t>
      </w:r>
      <w:r w:rsidR="00524DBE" w:rsidRPr="00524DBE">
        <w:rPr>
          <w:b/>
          <w:sz w:val="22"/>
        </w:rPr>
        <w:t>.</w:t>
      </w:r>
      <w:r w:rsidR="00016DCF">
        <w:rPr>
          <w:sz w:val="22"/>
        </w:rPr>
        <w:t xml:space="preserve"> System level performance of Type II CSI extension to rank 3 and 4 with different L and M with low traffic load (</w:t>
      </w:r>
      <w:r w:rsidR="00CE10D5">
        <w:rPr>
          <w:sz w:val="22"/>
        </w:rPr>
        <w:t>~</w:t>
      </w:r>
      <w:r w:rsidR="00016DCF">
        <w:rPr>
          <w:sz w:val="22"/>
        </w:rPr>
        <w:t>20% resource utilization)</w:t>
      </w:r>
    </w:p>
    <w:tbl>
      <w:tblPr>
        <w:tblW w:w="7763" w:type="dxa"/>
        <w:jc w:val="center"/>
        <w:tblLook w:val="04A0" w:firstRow="1" w:lastRow="0" w:firstColumn="1" w:lastColumn="0" w:noHBand="0" w:noVBand="1"/>
      </w:tblPr>
      <w:tblGrid>
        <w:gridCol w:w="2263"/>
        <w:gridCol w:w="1180"/>
        <w:gridCol w:w="1327"/>
        <w:gridCol w:w="1327"/>
        <w:gridCol w:w="1666"/>
      </w:tblGrid>
      <w:tr w:rsidR="00F177CE" w:rsidRPr="00F177CE" w14:paraId="2DEDEE5C" w14:textId="77777777" w:rsidTr="003136A0">
        <w:trPr>
          <w:trHeight w:val="288"/>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D206" w14:textId="38841EA4" w:rsidR="00F177CE" w:rsidRPr="00524DBE" w:rsidRDefault="00622913" w:rsidP="00F177CE">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 xml:space="preserve">Rank 3-4 </w:t>
            </w:r>
            <w:r w:rsidR="00F177CE" w:rsidRPr="00524DBE">
              <w:rPr>
                <w:rFonts w:eastAsia="Times New Roman"/>
                <w:color w:val="000000"/>
                <w:sz w:val="22"/>
                <w:szCs w:val="22"/>
                <w:lang w:val="en-US" w:eastAsia="ru-RU"/>
              </w:rPr>
              <w:t>CSI</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2F1CD4"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Rank 3-4 overhead</w:t>
            </w:r>
          </w:p>
        </w:tc>
        <w:tc>
          <w:tcPr>
            <w:tcW w:w="43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D71B308"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Packet throughput (Mb/s)</w:t>
            </w:r>
          </w:p>
        </w:tc>
      </w:tr>
      <w:tr w:rsidR="00F177CE" w:rsidRPr="00F177CE" w14:paraId="24E698D3" w14:textId="77777777" w:rsidTr="003136A0">
        <w:trPr>
          <w:trHeight w:val="28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BDDF898"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D96A966"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1327" w:type="dxa"/>
            <w:tcBorders>
              <w:top w:val="nil"/>
              <w:left w:val="nil"/>
              <w:bottom w:val="single" w:sz="4" w:space="0" w:color="auto"/>
              <w:right w:val="single" w:sz="4" w:space="0" w:color="auto"/>
            </w:tcBorders>
            <w:shd w:val="clear" w:color="auto" w:fill="auto"/>
            <w:noWrap/>
            <w:vAlign w:val="bottom"/>
            <w:hideMark/>
          </w:tcPr>
          <w:p w14:paraId="07ED8127"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 xml:space="preserve">Average </w:t>
            </w:r>
          </w:p>
        </w:tc>
        <w:tc>
          <w:tcPr>
            <w:tcW w:w="1327" w:type="dxa"/>
            <w:tcBorders>
              <w:top w:val="nil"/>
              <w:left w:val="nil"/>
              <w:bottom w:val="single" w:sz="4" w:space="0" w:color="auto"/>
              <w:right w:val="single" w:sz="4" w:space="0" w:color="auto"/>
            </w:tcBorders>
            <w:shd w:val="clear" w:color="auto" w:fill="auto"/>
            <w:noWrap/>
            <w:vAlign w:val="bottom"/>
            <w:hideMark/>
          </w:tcPr>
          <w:p w14:paraId="3D807981"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5% CDF</w:t>
            </w:r>
          </w:p>
        </w:tc>
        <w:tc>
          <w:tcPr>
            <w:tcW w:w="1666" w:type="dxa"/>
            <w:tcBorders>
              <w:top w:val="nil"/>
              <w:left w:val="nil"/>
              <w:bottom w:val="single" w:sz="4" w:space="0" w:color="auto"/>
              <w:right w:val="single" w:sz="4" w:space="0" w:color="auto"/>
            </w:tcBorders>
            <w:shd w:val="clear" w:color="auto" w:fill="auto"/>
            <w:noWrap/>
            <w:vAlign w:val="bottom"/>
            <w:hideMark/>
          </w:tcPr>
          <w:p w14:paraId="04C21685"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95 % CDF</w:t>
            </w:r>
          </w:p>
        </w:tc>
      </w:tr>
      <w:tr w:rsidR="00F177CE" w:rsidRPr="00F177CE" w14:paraId="3A1AC4B5"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D81AC72" w14:textId="4CD32AFE" w:rsidR="00F177CE" w:rsidRPr="007F3925" w:rsidRDefault="00F177CE" w:rsidP="007F3925">
            <w:pPr>
              <w:overflowPunct/>
              <w:autoSpaceDE/>
              <w:autoSpaceDN/>
              <w:adjustRightInd/>
              <w:spacing w:after="0"/>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Type I</w:t>
            </w:r>
          </w:p>
        </w:tc>
        <w:tc>
          <w:tcPr>
            <w:tcW w:w="1180" w:type="dxa"/>
            <w:tcBorders>
              <w:top w:val="nil"/>
              <w:left w:val="nil"/>
              <w:bottom w:val="single" w:sz="4" w:space="0" w:color="auto"/>
              <w:right w:val="single" w:sz="4" w:space="0" w:color="auto"/>
            </w:tcBorders>
            <w:shd w:val="clear" w:color="auto" w:fill="auto"/>
            <w:noWrap/>
            <w:vAlign w:val="bottom"/>
            <w:hideMark/>
          </w:tcPr>
          <w:p w14:paraId="32C16A6E"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21</w:t>
            </w:r>
          </w:p>
        </w:tc>
        <w:tc>
          <w:tcPr>
            <w:tcW w:w="1327" w:type="dxa"/>
            <w:tcBorders>
              <w:top w:val="nil"/>
              <w:left w:val="nil"/>
              <w:bottom w:val="single" w:sz="4" w:space="0" w:color="auto"/>
              <w:right w:val="single" w:sz="4" w:space="0" w:color="auto"/>
            </w:tcBorders>
            <w:shd w:val="clear" w:color="auto" w:fill="auto"/>
            <w:noWrap/>
            <w:vAlign w:val="bottom"/>
            <w:hideMark/>
          </w:tcPr>
          <w:p w14:paraId="411CCFB5"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67.6 (0%)</w:t>
            </w:r>
          </w:p>
        </w:tc>
        <w:tc>
          <w:tcPr>
            <w:tcW w:w="1327" w:type="dxa"/>
            <w:tcBorders>
              <w:top w:val="nil"/>
              <w:left w:val="nil"/>
              <w:bottom w:val="single" w:sz="4" w:space="0" w:color="auto"/>
              <w:right w:val="single" w:sz="4" w:space="0" w:color="auto"/>
            </w:tcBorders>
            <w:shd w:val="clear" w:color="auto" w:fill="auto"/>
            <w:noWrap/>
            <w:vAlign w:val="bottom"/>
            <w:hideMark/>
          </w:tcPr>
          <w:p w14:paraId="0959331E"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25.8 (0%)</w:t>
            </w:r>
          </w:p>
        </w:tc>
        <w:tc>
          <w:tcPr>
            <w:tcW w:w="1666" w:type="dxa"/>
            <w:tcBorders>
              <w:top w:val="nil"/>
              <w:left w:val="nil"/>
              <w:bottom w:val="single" w:sz="4" w:space="0" w:color="auto"/>
              <w:right w:val="single" w:sz="4" w:space="0" w:color="auto"/>
            </w:tcBorders>
            <w:shd w:val="clear" w:color="auto" w:fill="auto"/>
            <w:noWrap/>
            <w:vAlign w:val="bottom"/>
            <w:hideMark/>
          </w:tcPr>
          <w:p w14:paraId="3E0AA9A4"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123.8 (0%)</w:t>
            </w:r>
          </w:p>
        </w:tc>
      </w:tr>
      <w:tr w:rsidR="00F177CE" w:rsidRPr="00F177CE" w14:paraId="409C44C0"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FF91C36" w14:textId="083C6165"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 xml:space="preserve">Type II, </w:t>
            </w:r>
            <w:r w:rsidRPr="00855820">
              <w:rPr>
                <w:rFonts w:eastAsia="Times New Roman"/>
                <w:color w:val="000000"/>
                <w:sz w:val="22"/>
                <w:szCs w:val="22"/>
                <w:lang w:val="ru-RU" w:eastAsia="ru-RU"/>
              </w:rPr>
              <w:t xml:space="preserve">L = 2, M = </w:t>
            </w:r>
            <w:r w:rsidR="0040030F">
              <w:rPr>
                <w:rFonts w:eastAsia="Times New Roman"/>
                <w:color w:val="000000"/>
                <w:sz w:val="22"/>
                <w:szCs w:val="22"/>
                <w:lang w:val="en-US"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02BC0FE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293</w:t>
            </w:r>
          </w:p>
        </w:tc>
        <w:tc>
          <w:tcPr>
            <w:tcW w:w="1327" w:type="dxa"/>
            <w:tcBorders>
              <w:top w:val="nil"/>
              <w:left w:val="nil"/>
              <w:bottom w:val="single" w:sz="4" w:space="0" w:color="auto"/>
              <w:right w:val="single" w:sz="4" w:space="0" w:color="auto"/>
            </w:tcBorders>
            <w:shd w:val="clear" w:color="auto" w:fill="auto"/>
            <w:noWrap/>
            <w:vAlign w:val="bottom"/>
            <w:hideMark/>
          </w:tcPr>
          <w:p w14:paraId="03BA9A9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70.4 (4%)</w:t>
            </w:r>
          </w:p>
        </w:tc>
        <w:tc>
          <w:tcPr>
            <w:tcW w:w="1327" w:type="dxa"/>
            <w:tcBorders>
              <w:top w:val="nil"/>
              <w:left w:val="nil"/>
              <w:bottom w:val="single" w:sz="4" w:space="0" w:color="auto"/>
              <w:right w:val="single" w:sz="4" w:space="0" w:color="auto"/>
            </w:tcBorders>
            <w:shd w:val="clear" w:color="auto" w:fill="auto"/>
            <w:noWrap/>
            <w:vAlign w:val="bottom"/>
            <w:hideMark/>
          </w:tcPr>
          <w:p w14:paraId="28C9308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27.4 (6%)</w:t>
            </w:r>
          </w:p>
        </w:tc>
        <w:tc>
          <w:tcPr>
            <w:tcW w:w="1666" w:type="dxa"/>
            <w:tcBorders>
              <w:top w:val="nil"/>
              <w:left w:val="nil"/>
              <w:bottom w:val="single" w:sz="4" w:space="0" w:color="auto"/>
              <w:right w:val="single" w:sz="4" w:space="0" w:color="auto"/>
            </w:tcBorders>
            <w:shd w:val="clear" w:color="auto" w:fill="auto"/>
            <w:noWrap/>
            <w:vAlign w:val="bottom"/>
            <w:hideMark/>
          </w:tcPr>
          <w:p w14:paraId="4957992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125.0 (1%)</w:t>
            </w:r>
          </w:p>
        </w:tc>
      </w:tr>
      <w:tr w:rsidR="00F177CE" w:rsidRPr="00F177CE" w14:paraId="2A85610F"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6066366" w14:textId="1C73E8E5"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2, M = </w:t>
            </w:r>
            <w:r w:rsidR="0040030F">
              <w:rPr>
                <w:rFonts w:eastAsia="Times New Roman"/>
                <w:color w:val="000000"/>
                <w:sz w:val="22"/>
                <w:szCs w:val="22"/>
                <w:lang w:val="en-US" w:eastAsia="ru-RU"/>
              </w:rPr>
              <w:t>12</w:t>
            </w:r>
          </w:p>
        </w:tc>
        <w:tc>
          <w:tcPr>
            <w:tcW w:w="1180" w:type="dxa"/>
            <w:tcBorders>
              <w:top w:val="nil"/>
              <w:left w:val="nil"/>
              <w:bottom w:val="single" w:sz="4" w:space="0" w:color="auto"/>
              <w:right w:val="single" w:sz="4" w:space="0" w:color="auto"/>
            </w:tcBorders>
            <w:shd w:val="clear" w:color="auto" w:fill="auto"/>
            <w:noWrap/>
            <w:vAlign w:val="bottom"/>
            <w:hideMark/>
          </w:tcPr>
          <w:p w14:paraId="7E201E3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527</w:t>
            </w:r>
          </w:p>
        </w:tc>
        <w:tc>
          <w:tcPr>
            <w:tcW w:w="1327" w:type="dxa"/>
            <w:tcBorders>
              <w:top w:val="nil"/>
              <w:left w:val="nil"/>
              <w:bottom w:val="single" w:sz="4" w:space="0" w:color="auto"/>
              <w:right w:val="single" w:sz="4" w:space="0" w:color="auto"/>
            </w:tcBorders>
            <w:shd w:val="clear" w:color="auto" w:fill="auto"/>
            <w:noWrap/>
            <w:vAlign w:val="bottom"/>
            <w:hideMark/>
          </w:tcPr>
          <w:p w14:paraId="3134F05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70.6 (5%)</w:t>
            </w:r>
          </w:p>
        </w:tc>
        <w:tc>
          <w:tcPr>
            <w:tcW w:w="1327" w:type="dxa"/>
            <w:tcBorders>
              <w:top w:val="nil"/>
              <w:left w:val="nil"/>
              <w:bottom w:val="single" w:sz="4" w:space="0" w:color="auto"/>
              <w:right w:val="single" w:sz="4" w:space="0" w:color="auto"/>
            </w:tcBorders>
            <w:shd w:val="clear" w:color="auto" w:fill="auto"/>
            <w:noWrap/>
            <w:vAlign w:val="bottom"/>
            <w:hideMark/>
          </w:tcPr>
          <w:p w14:paraId="56F5F05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26.7 (3%)</w:t>
            </w:r>
          </w:p>
        </w:tc>
        <w:tc>
          <w:tcPr>
            <w:tcW w:w="1666" w:type="dxa"/>
            <w:tcBorders>
              <w:top w:val="nil"/>
              <w:left w:val="nil"/>
              <w:bottom w:val="single" w:sz="4" w:space="0" w:color="auto"/>
              <w:right w:val="single" w:sz="4" w:space="0" w:color="auto"/>
            </w:tcBorders>
            <w:shd w:val="clear" w:color="auto" w:fill="auto"/>
            <w:noWrap/>
            <w:vAlign w:val="bottom"/>
            <w:hideMark/>
          </w:tcPr>
          <w:p w14:paraId="3411D0D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129.0 (4%)</w:t>
            </w:r>
          </w:p>
        </w:tc>
      </w:tr>
      <w:tr w:rsidR="00F177CE" w:rsidRPr="00F177CE" w14:paraId="04FC731F"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9E94295" w14:textId="77B47270"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40030F">
              <w:rPr>
                <w:rFonts w:eastAsia="Times New Roman"/>
                <w:color w:val="000000"/>
                <w:sz w:val="22"/>
                <w:szCs w:val="22"/>
                <w:lang w:val="en-US"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64AC289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324</w:t>
            </w:r>
          </w:p>
        </w:tc>
        <w:tc>
          <w:tcPr>
            <w:tcW w:w="1327" w:type="dxa"/>
            <w:tcBorders>
              <w:top w:val="nil"/>
              <w:left w:val="nil"/>
              <w:bottom w:val="single" w:sz="4" w:space="0" w:color="auto"/>
              <w:right w:val="single" w:sz="4" w:space="0" w:color="auto"/>
            </w:tcBorders>
            <w:shd w:val="clear" w:color="auto" w:fill="auto"/>
            <w:noWrap/>
            <w:vAlign w:val="bottom"/>
            <w:hideMark/>
          </w:tcPr>
          <w:p w14:paraId="3B9D25BB"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71.8 (6%)</w:t>
            </w:r>
          </w:p>
        </w:tc>
        <w:tc>
          <w:tcPr>
            <w:tcW w:w="1327" w:type="dxa"/>
            <w:tcBorders>
              <w:top w:val="nil"/>
              <w:left w:val="nil"/>
              <w:bottom w:val="single" w:sz="4" w:space="0" w:color="auto"/>
              <w:right w:val="single" w:sz="4" w:space="0" w:color="auto"/>
            </w:tcBorders>
            <w:shd w:val="clear" w:color="auto" w:fill="auto"/>
            <w:noWrap/>
            <w:vAlign w:val="bottom"/>
            <w:hideMark/>
          </w:tcPr>
          <w:p w14:paraId="16BD55B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27.2 (5%)</w:t>
            </w:r>
          </w:p>
        </w:tc>
        <w:tc>
          <w:tcPr>
            <w:tcW w:w="1666" w:type="dxa"/>
            <w:tcBorders>
              <w:top w:val="nil"/>
              <w:left w:val="nil"/>
              <w:bottom w:val="single" w:sz="4" w:space="0" w:color="auto"/>
              <w:right w:val="single" w:sz="4" w:space="0" w:color="auto"/>
            </w:tcBorders>
            <w:shd w:val="clear" w:color="auto" w:fill="auto"/>
            <w:noWrap/>
            <w:vAlign w:val="bottom"/>
            <w:hideMark/>
          </w:tcPr>
          <w:p w14:paraId="788E451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133.3 (8%)</w:t>
            </w:r>
          </w:p>
        </w:tc>
      </w:tr>
      <w:tr w:rsidR="00F177CE" w:rsidRPr="00F177CE" w14:paraId="16712284"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3D92CEC" w14:textId="6EB5D0EB"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40030F">
              <w:rPr>
                <w:rFonts w:eastAsia="Times New Roman"/>
                <w:color w:val="000000"/>
                <w:sz w:val="22"/>
                <w:szCs w:val="22"/>
                <w:lang w:val="en-US" w:eastAsia="ru-RU"/>
              </w:rPr>
              <w:t>10</w:t>
            </w:r>
          </w:p>
        </w:tc>
        <w:tc>
          <w:tcPr>
            <w:tcW w:w="1180" w:type="dxa"/>
            <w:tcBorders>
              <w:top w:val="nil"/>
              <w:left w:val="nil"/>
              <w:bottom w:val="single" w:sz="4" w:space="0" w:color="auto"/>
              <w:right w:val="single" w:sz="4" w:space="0" w:color="auto"/>
            </w:tcBorders>
            <w:shd w:val="clear" w:color="auto" w:fill="auto"/>
            <w:noWrap/>
            <w:vAlign w:val="bottom"/>
            <w:hideMark/>
          </w:tcPr>
          <w:p w14:paraId="1D9D5093"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480</w:t>
            </w:r>
          </w:p>
        </w:tc>
        <w:tc>
          <w:tcPr>
            <w:tcW w:w="1327" w:type="dxa"/>
            <w:tcBorders>
              <w:top w:val="nil"/>
              <w:left w:val="nil"/>
              <w:bottom w:val="single" w:sz="4" w:space="0" w:color="auto"/>
              <w:right w:val="single" w:sz="4" w:space="0" w:color="auto"/>
            </w:tcBorders>
            <w:shd w:val="clear" w:color="auto" w:fill="auto"/>
            <w:noWrap/>
            <w:vAlign w:val="bottom"/>
            <w:hideMark/>
          </w:tcPr>
          <w:p w14:paraId="3728CE07"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73.0 (8%)</w:t>
            </w:r>
          </w:p>
        </w:tc>
        <w:tc>
          <w:tcPr>
            <w:tcW w:w="1327" w:type="dxa"/>
            <w:tcBorders>
              <w:top w:val="nil"/>
              <w:left w:val="nil"/>
              <w:bottom w:val="single" w:sz="4" w:space="0" w:color="auto"/>
              <w:right w:val="single" w:sz="4" w:space="0" w:color="auto"/>
            </w:tcBorders>
            <w:shd w:val="clear" w:color="auto" w:fill="auto"/>
            <w:noWrap/>
            <w:vAlign w:val="bottom"/>
            <w:hideMark/>
          </w:tcPr>
          <w:p w14:paraId="3374A5FB"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27.8 (8%)</w:t>
            </w:r>
          </w:p>
        </w:tc>
        <w:tc>
          <w:tcPr>
            <w:tcW w:w="1666" w:type="dxa"/>
            <w:tcBorders>
              <w:top w:val="nil"/>
              <w:left w:val="nil"/>
              <w:bottom w:val="single" w:sz="4" w:space="0" w:color="auto"/>
              <w:right w:val="single" w:sz="4" w:space="0" w:color="auto"/>
            </w:tcBorders>
            <w:shd w:val="clear" w:color="auto" w:fill="auto"/>
            <w:noWrap/>
            <w:vAlign w:val="bottom"/>
            <w:hideMark/>
          </w:tcPr>
          <w:p w14:paraId="1D1053F2"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137.9 (11%)</w:t>
            </w:r>
          </w:p>
        </w:tc>
      </w:tr>
      <w:tr w:rsidR="00F177CE" w:rsidRPr="00F177CE" w14:paraId="30F98882"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D45CCE4" w14:textId="02E48CA0"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40030F">
              <w:rPr>
                <w:rFonts w:eastAsia="Times New Roman"/>
                <w:color w:val="000000"/>
                <w:sz w:val="22"/>
                <w:szCs w:val="22"/>
                <w:lang w:val="en-US" w:eastAsia="ru-RU"/>
              </w:rPr>
              <w:t>20</w:t>
            </w:r>
          </w:p>
        </w:tc>
        <w:tc>
          <w:tcPr>
            <w:tcW w:w="1180" w:type="dxa"/>
            <w:tcBorders>
              <w:top w:val="nil"/>
              <w:left w:val="nil"/>
              <w:bottom w:val="single" w:sz="4" w:space="0" w:color="auto"/>
              <w:right w:val="single" w:sz="4" w:space="0" w:color="auto"/>
            </w:tcBorders>
            <w:shd w:val="clear" w:color="auto" w:fill="auto"/>
            <w:noWrap/>
            <w:vAlign w:val="bottom"/>
            <w:hideMark/>
          </w:tcPr>
          <w:p w14:paraId="49D1FD6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870</w:t>
            </w:r>
          </w:p>
        </w:tc>
        <w:tc>
          <w:tcPr>
            <w:tcW w:w="1327" w:type="dxa"/>
            <w:tcBorders>
              <w:top w:val="nil"/>
              <w:left w:val="nil"/>
              <w:bottom w:val="single" w:sz="4" w:space="0" w:color="auto"/>
              <w:right w:val="single" w:sz="4" w:space="0" w:color="auto"/>
            </w:tcBorders>
            <w:shd w:val="clear" w:color="auto" w:fill="auto"/>
            <w:noWrap/>
            <w:vAlign w:val="bottom"/>
            <w:hideMark/>
          </w:tcPr>
          <w:p w14:paraId="17F22EB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72.7 (8%)</w:t>
            </w:r>
          </w:p>
        </w:tc>
        <w:tc>
          <w:tcPr>
            <w:tcW w:w="1327" w:type="dxa"/>
            <w:tcBorders>
              <w:top w:val="nil"/>
              <w:left w:val="nil"/>
              <w:bottom w:val="single" w:sz="4" w:space="0" w:color="auto"/>
              <w:right w:val="single" w:sz="4" w:space="0" w:color="auto"/>
            </w:tcBorders>
            <w:shd w:val="clear" w:color="auto" w:fill="auto"/>
            <w:noWrap/>
            <w:vAlign w:val="bottom"/>
            <w:hideMark/>
          </w:tcPr>
          <w:p w14:paraId="40F69FA2"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27.6 (7%)</w:t>
            </w:r>
          </w:p>
        </w:tc>
        <w:tc>
          <w:tcPr>
            <w:tcW w:w="1666" w:type="dxa"/>
            <w:tcBorders>
              <w:top w:val="nil"/>
              <w:left w:val="nil"/>
              <w:bottom w:val="single" w:sz="4" w:space="0" w:color="auto"/>
              <w:right w:val="single" w:sz="4" w:space="0" w:color="auto"/>
            </w:tcBorders>
            <w:shd w:val="clear" w:color="auto" w:fill="auto"/>
            <w:noWrap/>
            <w:vAlign w:val="bottom"/>
            <w:hideMark/>
          </w:tcPr>
          <w:p w14:paraId="5056E77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137.9 (11%)</w:t>
            </w:r>
          </w:p>
        </w:tc>
      </w:tr>
      <w:tr w:rsidR="00F177CE" w:rsidRPr="00F177CE" w14:paraId="227CE07D"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FF6AE61" w14:textId="5F401B9E"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40030F">
              <w:rPr>
                <w:rFonts w:eastAsia="Times New Roman"/>
                <w:color w:val="000000"/>
                <w:sz w:val="22"/>
                <w:szCs w:val="22"/>
                <w:lang w:val="en-US"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658CA032"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356</w:t>
            </w:r>
          </w:p>
        </w:tc>
        <w:tc>
          <w:tcPr>
            <w:tcW w:w="1327" w:type="dxa"/>
            <w:tcBorders>
              <w:top w:val="nil"/>
              <w:left w:val="nil"/>
              <w:bottom w:val="single" w:sz="4" w:space="0" w:color="auto"/>
              <w:right w:val="single" w:sz="4" w:space="0" w:color="auto"/>
            </w:tcBorders>
            <w:shd w:val="clear" w:color="auto" w:fill="auto"/>
            <w:noWrap/>
            <w:vAlign w:val="bottom"/>
            <w:hideMark/>
          </w:tcPr>
          <w:p w14:paraId="5EEA79C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72.3 (7%)</w:t>
            </w:r>
          </w:p>
        </w:tc>
        <w:tc>
          <w:tcPr>
            <w:tcW w:w="1327" w:type="dxa"/>
            <w:tcBorders>
              <w:top w:val="nil"/>
              <w:left w:val="nil"/>
              <w:bottom w:val="single" w:sz="4" w:space="0" w:color="auto"/>
              <w:right w:val="single" w:sz="4" w:space="0" w:color="auto"/>
            </w:tcBorders>
            <w:shd w:val="clear" w:color="auto" w:fill="auto"/>
            <w:noWrap/>
            <w:vAlign w:val="bottom"/>
            <w:hideMark/>
          </w:tcPr>
          <w:p w14:paraId="644F8CE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27.2 (5%)</w:t>
            </w:r>
          </w:p>
        </w:tc>
        <w:tc>
          <w:tcPr>
            <w:tcW w:w="1666" w:type="dxa"/>
            <w:tcBorders>
              <w:top w:val="nil"/>
              <w:left w:val="nil"/>
              <w:bottom w:val="single" w:sz="4" w:space="0" w:color="auto"/>
              <w:right w:val="single" w:sz="4" w:space="0" w:color="auto"/>
            </w:tcBorders>
            <w:shd w:val="clear" w:color="auto" w:fill="auto"/>
            <w:noWrap/>
            <w:vAlign w:val="bottom"/>
            <w:hideMark/>
          </w:tcPr>
          <w:p w14:paraId="5ADE700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137.9 (11%)</w:t>
            </w:r>
          </w:p>
        </w:tc>
      </w:tr>
      <w:tr w:rsidR="00F177CE" w:rsidRPr="00F177CE" w14:paraId="7C41B092"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BBCDF5F" w14:textId="67172EA9"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40030F">
              <w:rPr>
                <w:rFonts w:eastAsia="Times New Roman"/>
                <w:color w:val="000000"/>
                <w:sz w:val="22"/>
                <w:szCs w:val="22"/>
                <w:lang w:val="en-US" w:eastAsia="ru-RU"/>
              </w:rPr>
              <w:t>10</w:t>
            </w:r>
          </w:p>
        </w:tc>
        <w:tc>
          <w:tcPr>
            <w:tcW w:w="1180" w:type="dxa"/>
            <w:tcBorders>
              <w:top w:val="nil"/>
              <w:left w:val="nil"/>
              <w:bottom w:val="single" w:sz="4" w:space="0" w:color="auto"/>
              <w:right w:val="single" w:sz="4" w:space="0" w:color="auto"/>
            </w:tcBorders>
            <w:shd w:val="clear" w:color="auto" w:fill="auto"/>
            <w:noWrap/>
            <w:vAlign w:val="bottom"/>
            <w:hideMark/>
          </w:tcPr>
          <w:p w14:paraId="07D20FB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512</w:t>
            </w:r>
          </w:p>
        </w:tc>
        <w:tc>
          <w:tcPr>
            <w:tcW w:w="1327" w:type="dxa"/>
            <w:tcBorders>
              <w:top w:val="nil"/>
              <w:left w:val="nil"/>
              <w:bottom w:val="single" w:sz="4" w:space="0" w:color="auto"/>
              <w:right w:val="single" w:sz="4" w:space="0" w:color="auto"/>
            </w:tcBorders>
            <w:shd w:val="clear" w:color="auto" w:fill="auto"/>
            <w:noWrap/>
            <w:vAlign w:val="bottom"/>
            <w:hideMark/>
          </w:tcPr>
          <w:p w14:paraId="20B0940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73.7 (9%)</w:t>
            </w:r>
          </w:p>
        </w:tc>
        <w:tc>
          <w:tcPr>
            <w:tcW w:w="1327" w:type="dxa"/>
            <w:tcBorders>
              <w:top w:val="nil"/>
              <w:left w:val="nil"/>
              <w:bottom w:val="single" w:sz="4" w:space="0" w:color="auto"/>
              <w:right w:val="single" w:sz="4" w:space="0" w:color="auto"/>
            </w:tcBorders>
            <w:shd w:val="clear" w:color="auto" w:fill="auto"/>
            <w:noWrap/>
            <w:vAlign w:val="bottom"/>
            <w:hideMark/>
          </w:tcPr>
          <w:p w14:paraId="312C8AA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27.6 (7%)</w:t>
            </w:r>
          </w:p>
        </w:tc>
        <w:tc>
          <w:tcPr>
            <w:tcW w:w="1666" w:type="dxa"/>
            <w:tcBorders>
              <w:top w:val="nil"/>
              <w:left w:val="nil"/>
              <w:bottom w:val="single" w:sz="4" w:space="0" w:color="auto"/>
              <w:right w:val="single" w:sz="4" w:space="0" w:color="auto"/>
            </w:tcBorders>
            <w:shd w:val="clear" w:color="auto" w:fill="auto"/>
            <w:noWrap/>
            <w:vAlign w:val="bottom"/>
            <w:hideMark/>
          </w:tcPr>
          <w:p w14:paraId="14CFA034"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142.9 (15%)</w:t>
            </w:r>
          </w:p>
        </w:tc>
      </w:tr>
      <w:tr w:rsidR="00F177CE" w:rsidRPr="00F177CE" w14:paraId="2FCFE4FA"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F1FCE64" w14:textId="061D9466"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40030F">
              <w:rPr>
                <w:rFonts w:eastAsia="Times New Roman"/>
                <w:color w:val="000000"/>
                <w:sz w:val="22"/>
                <w:szCs w:val="22"/>
                <w:lang w:val="en-US" w:eastAsia="ru-RU"/>
              </w:rPr>
              <w:t>28</w:t>
            </w:r>
          </w:p>
        </w:tc>
        <w:tc>
          <w:tcPr>
            <w:tcW w:w="1180" w:type="dxa"/>
            <w:tcBorders>
              <w:top w:val="nil"/>
              <w:left w:val="nil"/>
              <w:bottom w:val="single" w:sz="4" w:space="0" w:color="auto"/>
              <w:right w:val="single" w:sz="4" w:space="0" w:color="auto"/>
            </w:tcBorders>
            <w:shd w:val="clear" w:color="auto" w:fill="auto"/>
            <w:noWrap/>
            <w:vAlign w:val="bottom"/>
            <w:hideMark/>
          </w:tcPr>
          <w:p w14:paraId="023DCE3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1214</w:t>
            </w:r>
          </w:p>
        </w:tc>
        <w:tc>
          <w:tcPr>
            <w:tcW w:w="1327" w:type="dxa"/>
            <w:tcBorders>
              <w:top w:val="nil"/>
              <w:left w:val="nil"/>
              <w:bottom w:val="single" w:sz="4" w:space="0" w:color="auto"/>
              <w:right w:val="single" w:sz="4" w:space="0" w:color="auto"/>
            </w:tcBorders>
            <w:shd w:val="clear" w:color="auto" w:fill="auto"/>
            <w:noWrap/>
            <w:vAlign w:val="bottom"/>
            <w:hideMark/>
          </w:tcPr>
          <w:p w14:paraId="181BC4A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73.7 (9%)</w:t>
            </w:r>
          </w:p>
        </w:tc>
        <w:tc>
          <w:tcPr>
            <w:tcW w:w="1327" w:type="dxa"/>
            <w:tcBorders>
              <w:top w:val="nil"/>
              <w:left w:val="nil"/>
              <w:bottom w:val="single" w:sz="4" w:space="0" w:color="auto"/>
              <w:right w:val="single" w:sz="4" w:space="0" w:color="auto"/>
            </w:tcBorders>
            <w:shd w:val="clear" w:color="auto" w:fill="auto"/>
            <w:noWrap/>
            <w:vAlign w:val="bottom"/>
            <w:hideMark/>
          </w:tcPr>
          <w:p w14:paraId="7C5423D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27.6 (7%)</w:t>
            </w:r>
          </w:p>
        </w:tc>
        <w:tc>
          <w:tcPr>
            <w:tcW w:w="1666" w:type="dxa"/>
            <w:tcBorders>
              <w:top w:val="nil"/>
              <w:left w:val="nil"/>
              <w:bottom w:val="single" w:sz="4" w:space="0" w:color="auto"/>
              <w:right w:val="single" w:sz="4" w:space="0" w:color="auto"/>
            </w:tcBorders>
            <w:shd w:val="clear" w:color="auto" w:fill="auto"/>
            <w:noWrap/>
            <w:vAlign w:val="bottom"/>
            <w:hideMark/>
          </w:tcPr>
          <w:p w14:paraId="42F0ED64"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142.9 (15%)</w:t>
            </w:r>
          </w:p>
        </w:tc>
      </w:tr>
    </w:tbl>
    <w:p w14:paraId="6AAAFBA9" w14:textId="37BA002E" w:rsidR="00054EFA" w:rsidRDefault="00054EFA" w:rsidP="001B5397">
      <w:pPr>
        <w:jc w:val="both"/>
        <w:rPr>
          <w:sz w:val="22"/>
        </w:rPr>
      </w:pPr>
    </w:p>
    <w:p w14:paraId="77F972E7" w14:textId="6FDFD7AC" w:rsidR="00F177CE" w:rsidRDefault="00054EFA" w:rsidP="00054EFA">
      <w:pPr>
        <w:overflowPunct/>
        <w:autoSpaceDE/>
        <w:autoSpaceDN/>
        <w:adjustRightInd/>
        <w:spacing w:after="0"/>
        <w:textAlignment w:val="auto"/>
        <w:rPr>
          <w:sz w:val="22"/>
        </w:rPr>
      </w:pPr>
      <w:r>
        <w:rPr>
          <w:sz w:val="22"/>
        </w:rPr>
        <w:br w:type="page"/>
      </w:r>
    </w:p>
    <w:p w14:paraId="41FB112F" w14:textId="444BB962" w:rsidR="00016DCF" w:rsidRDefault="00016DCF" w:rsidP="00016DCF">
      <w:pPr>
        <w:jc w:val="center"/>
        <w:rPr>
          <w:sz w:val="22"/>
        </w:rPr>
      </w:pPr>
      <w:r w:rsidRPr="00524DBE">
        <w:rPr>
          <w:b/>
          <w:sz w:val="22"/>
        </w:rPr>
        <w:lastRenderedPageBreak/>
        <w:t>Table 2</w:t>
      </w:r>
      <w:r w:rsidR="00524DBE" w:rsidRPr="00524DBE">
        <w:rPr>
          <w:b/>
          <w:sz w:val="22"/>
        </w:rPr>
        <w:t>.</w:t>
      </w:r>
      <w:r>
        <w:rPr>
          <w:sz w:val="22"/>
        </w:rPr>
        <w:t xml:space="preserve"> System level performance of Type II CSI extension to rank 3 and 4 with different L and M with </w:t>
      </w:r>
      <w:r w:rsidR="00ED17AF">
        <w:rPr>
          <w:sz w:val="22"/>
        </w:rPr>
        <w:t>high</w:t>
      </w:r>
      <w:r>
        <w:rPr>
          <w:sz w:val="22"/>
        </w:rPr>
        <w:t xml:space="preserve"> traffic load (</w:t>
      </w:r>
      <w:r w:rsidR="00CE10D5">
        <w:rPr>
          <w:sz w:val="22"/>
        </w:rPr>
        <w:t>~</w:t>
      </w:r>
      <w:r>
        <w:rPr>
          <w:sz w:val="22"/>
        </w:rPr>
        <w:t>50% resource utilization)</w:t>
      </w:r>
    </w:p>
    <w:tbl>
      <w:tblPr>
        <w:tblW w:w="7680" w:type="dxa"/>
        <w:jc w:val="center"/>
        <w:tblLook w:val="04A0" w:firstRow="1" w:lastRow="0" w:firstColumn="1" w:lastColumn="0" w:noHBand="0" w:noVBand="1"/>
      </w:tblPr>
      <w:tblGrid>
        <w:gridCol w:w="2400"/>
        <w:gridCol w:w="1023"/>
        <w:gridCol w:w="1296"/>
        <w:gridCol w:w="1397"/>
        <w:gridCol w:w="1627"/>
      </w:tblGrid>
      <w:tr w:rsidR="00F177CE" w:rsidRPr="00F177CE" w14:paraId="582C8C73" w14:textId="77777777" w:rsidTr="00F177CE">
        <w:trPr>
          <w:trHeight w:val="288"/>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87761" w14:textId="40E0AEF0" w:rsidR="00F177CE" w:rsidRPr="00524DBE" w:rsidRDefault="00622913" w:rsidP="00F177CE">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 xml:space="preserve">Rank 3-4 </w:t>
            </w:r>
            <w:r w:rsidR="00F177CE" w:rsidRPr="00524DBE">
              <w:rPr>
                <w:rFonts w:eastAsia="Times New Roman"/>
                <w:color w:val="000000"/>
                <w:sz w:val="22"/>
                <w:szCs w:val="22"/>
                <w:lang w:val="en-US" w:eastAsia="ru-RU"/>
              </w:rPr>
              <w:t>CSI</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068C45F"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Rank 3-4 overhead</w:t>
            </w:r>
          </w:p>
        </w:tc>
        <w:tc>
          <w:tcPr>
            <w:tcW w:w="43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E421500"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Packet throughput (Mb/s)</w:t>
            </w:r>
          </w:p>
        </w:tc>
      </w:tr>
      <w:tr w:rsidR="00F177CE" w:rsidRPr="00F177CE" w14:paraId="48B1B39E" w14:textId="77777777" w:rsidTr="00F177CE">
        <w:trPr>
          <w:trHeight w:val="288"/>
          <w:jc w:val="center"/>
        </w:trPr>
        <w:tc>
          <w:tcPr>
            <w:tcW w:w="2400" w:type="dxa"/>
            <w:vMerge/>
            <w:tcBorders>
              <w:top w:val="single" w:sz="4" w:space="0" w:color="auto"/>
              <w:left w:val="single" w:sz="4" w:space="0" w:color="auto"/>
              <w:bottom w:val="single" w:sz="4" w:space="0" w:color="auto"/>
              <w:right w:val="single" w:sz="4" w:space="0" w:color="auto"/>
            </w:tcBorders>
            <w:vAlign w:val="center"/>
            <w:hideMark/>
          </w:tcPr>
          <w:p w14:paraId="4014EBC6"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A5D627"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1296" w:type="dxa"/>
            <w:tcBorders>
              <w:top w:val="nil"/>
              <w:left w:val="nil"/>
              <w:bottom w:val="single" w:sz="4" w:space="0" w:color="auto"/>
              <w:right w:val="single" w:sz="4" w:space="0" w:color="auto"/>
            </w:tcBorders>
            <w:shd w:val="clear" w:color="auto" w:fill="auto"/>
            <w:noWrap/>
            <w:vAlign w:val="bottom"/>
            <w:hideMark/>
          </w:tcPr>
          <w:p w14:paraId="5E15A475"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 xml:space="preserve">Average </w:t>
            </w:r>
          </w:p>
        </w:tc>
        <w:tc>
          <w:tcPr>
            <w:tcW w:w="1397" w:type="dxa"/>
            <w:tcBorders>
              <w:top w:val="nil"/>
              <w:left w:val="nil"/>
              <w:bottom w:val="single" w:sz="4" w:space="0" w:color="auto"/>
              <w:right w:val="single" w:sz="4" w:space="0" w:color="auto"/>
            </w:tcBorders>
            <w:shd w:val="clear" w:color="auto" w:fill="auto"/>
            <w:noWrap/>
            <w:vAlign w:val="bottom"/>
            <w:hideMark/>
          </w:tcPr>
          <w:p w14:paraId="7F52F3F1"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5% CDF</w:t>
            </w:r>
          </w:p>
        </w:tc>
        <w:tc>
          <w:tcPr>
            <w:tcW w:w="1627" w:type="dxa"/>
            <w:tcBorders>
              <w:top w:val="nil"/>
              <w:left w:val="nil"/>
              <w:bottom w:val="single" w:sz="4" w:space="0" w:color="auto"/>
              <w:right w:val="single" w:sz="4" w:space="0" w:color="auto"/>
            </w:tcBorders>
            <w:shd w:val="clear" w:color="auto" w:fill="auto"/>
            <w:noWrap/>
            <w:vAlign w:val="bottom"/>
            <w:hideMark/>
          </w:tcPr>
          <w:p w14:paraId="2C6563C8"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95 % CDF</w:t>
            </w:r>
          </w:p>
        </w:tc>
      </w:tr>
      <w:tr w:rsidR="00F177CE" w:rsidRPr="00F177CE" w14:paraId="3839986B"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64448492"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Type I</w:t>
            </w:r>
          </w:p>
        </w:tc>
        <w:tc>
          <w:tcPr>
            <w:tcW w:w="960" w:type="dxa"/>
            <w:tcBorders>
              <w:top w:val="nil"/>
              <w:left w:val="nil"/>
              <w:bottom w:val="single" w:sz="4" w:space="0" w:color="auto"/>
              <w:right w:val="single" w:sz="4" w:space="0" w:color="auto"/>
            </w:tcBorders>
            <w:shd w:val="clear" w:color="auto" w:fill="auto"/>
            <w:noWrap/>
            <w:vAlign w:val="bottom"/>
            <w:hideMark/>
          </w:tcPr>
          <w:p w14:paraId="339EBC84"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21</w:t>
            </w:r>
          </w:p>
        </w:tc>
        <w:tc>
          <w:tcPr>
            <w:tcW w:w="1296" w:type="dxa"/>
            <w:tcBorders>
              <w:top w:val="nil"/>
              <w:left w:val="nil"/>
              <w:bottom w:val="single" w:sz="4" w:space="0" w:color="auto"/>
              <w:right w:val="single" w:sz="4" w:space="0" w:color="auto"/>
            </w:tcBorders>
            <w:shd w:val="clear" w:color="auto" w:fill="auto"/>
            <w:noWrap/>
            <w:vAlign w:val="bottom"/>
            <w:hideMark/>
          </w:tcPr>
          <w:p w14:paraId="6BB2E7DF"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46.6 (0%)</w:t>
            </w:r>
          </w:p>
        </w:tc>
        <w:tc>
          <w:tcPr>
            <w:tcW w:w="1397" w:type="dxa"/>
            <w:tcBorders>
              <w:top w:val="nil"/>
              <w:left w:val="nil"/>
              <w:bottom w:val="single" w:sz="4" w:space="0" w:color="auto"/>
              <w:right w:val="single" w:sz="4" w:space="0" w:color="auto"/>
            </w:tcBorders>
            <w:shd w:val="clear" w:color="auto" w:fill="auto"/>
            <w:noWrap/>
            <w:vAlign w:val="bottom"/>
            <w:hideMark/>
          </w:tcPr>
          <w:p w14:paraId="497640A2"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14.8 (0%)</w:t>
            </w:r>
          </w:p>
        </w:tc>
        <w:tc>
          <w:tcPr>
            <w:tcW w:w="1627" w:type="dxa"/>
            <w:tcBorders>
              <w:top w:val="nil"/>
              <w:left w:val="nil"/>
              <w:bottom w:val="single" w:sz="4" w:space="0" w:color="auto"/>
              <w:right w:val="single" w:sz="4" w:space="0" w:color="auto"/>
            </w:tcBorders>
            <w:shd w:val="clear" w:color="auto" w:fill="auto"/>
            <w:noWrap/>
            <w:vAlign w:val="bottom"/>
            <w:hideMark/>
          </w:tcPr>
          <w:p w14:paraId="589A72F9"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87.0 (0%)</w:t>
            </w:r>
          </w:p>
        </w:tc>
      </w:tr>
      <w:tr w:rsidR="00F177CE" w:rsidRPr="00F177CE" w14:paraId="7EE74BFA"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1499122C" w14:textId="55D68AD2"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2, M = </w:t>
            </w:r>
            <w:r w:rsidR="006474E5">
              <w:rPr>
                <w:rFonts w:eastAsia="Times New Roman"/>
                <w:color w:val="000000"/>
                <w:sz w:val="22"/>
                <w:szCs w:val="22"/>
                <w:lang w:val="en-US" w:eastAsia="ru-RU"/>
              </w:rPr>
              <w:t>6</w:t>
            </w:r>
          </w:p>
        </w:tc>
        <w:tc>
          <w:tcPr>
            <w:tcW w:w="960" w:type="dxa"/>
            <w:tcBorders>
              <w:top w:val="nil"/>
              <w:left w:val="nil"/>
              <w:bottom w:val="single" w:sz="4" w:space="0" w:color="auto"/>
              <w:right w:val="single" w:sz="4" w:space="0" w:color="auto"/>
            </w:tcBorders>
            <w:shd w:val="clear" w:color="auto" w:fill="auto"/>
            <w:noWrap/>
            <w:vAlign w:val="bottom"/>
            <w:hideMark/>
          </w:tcPr>
          <w:p w14:paraId="4F5AD88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293</w:t>
            </w:r>
          </w:p>
        </w:tc>
        <w:tc>
          <w:tcPr>
            <w:tcW w:w="1296" w:type="dxa"/>
            <w:tcBorders>
              <w:top w:val="nil"/>
              <w:left w:val="nil"/>
              <w:bottom w:val="single" w:sz="4" w:space="0" w:color="auto"/>
              <w:right w:val="single" w:sz="4" w:space="0" w:color="auto"/>
            </w:tcBorders>
            <w:shd w:val="clear" w:color="auto" w:fill="auto"/>
            <w:noWrap/>
            <w:vAlign w:val="bottom"/>
            <w:hideMark/>
          </w:tcPr>
          <w:p w14:paraId="6B31BC3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48.1 (3%)</w:t>
            </w:r>
          </w:p>
        </w:tc>
        <w:tc>
          <w:tcPr>
            <w:tcW w:w="1397" w:type="dxa"/>
            <w:tcBorders>
              <w:top w:val="nil"/>
              <w:left w:val="nil"/>
              <w:bottom w:val="single" w:sz="4" w:space="0" w:color="auto"/>
              <w:right w:val="single" w:sz="4" w:space="0" w:color="auto"/>
            </w:tcBorders>
            <w:shd w:val="clear" w:color="auto" w:fill="auto"/>
            <w:noWrap/>
            <w:vAlign w:val="bottom"/>
            <w:hideMark/>
          </w:tcPr>
          <w:p w14:paraId="6E0F3A0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14.3 (-3%)</w:t>
            </w:r>
          </w:p>
        </w:tc>
        <w:tc>
          <w:tcPr>
            <w:tcW w:w="1627" w:type="dxa"/>
            <w:tcBorders>
              <w:top w:val="nil"/>
              <w:left w:val="nil"/>
              <w:bottom w:val="single" w:sz="4" w:space="0" w:color="auto"/>
              <w:right w:val="single" w:sz="4" w:space="0" w:color="auto"/>
            </w:tcBorders>
            <w:shd w:val="clear" w:color="auto" w:fill="auto"/>
            <w:noWrap/>
            <w:vAlign w:val="bottom"/>
            <w:hideMark/>
          </w:tcPr>
          <w:p w14:paraId="59326F5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97.6 (12%)</w:t>
            </w:r>
          </w:p>
        </w:tc>
      </w:tr>
      <w:tr w:rsidR="00F177CE" w:rsidRPr="00F177CE" w14:paraId="1F42E43A"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0A5AA611" w14:textId="6E131FDE"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2, M = </w:t>
            </w:r>
            <w:r w:rsidR="006474E5">
              <w:rPr>
                <w:rFonts w:eastAsia="Times New Roman"/>
                <w:color w:val="000000"/>
                <w:sz w:val="22"/>
                <w:szCs w:val="22"/>
                <w:lang w:val="en-US" w:eastAsia="ru-RU"/>
              </w:rPr>
              <w:t>12</w:t>
            </w:r>
          </w:p>
        </w:tc>
        <w:tc>
          <w:tcPr>
            <w:tcW w:w="960" w:type="dxa"/>
            <w:tcBorders>
              <w:top w:val="nil"/>
              <w:left w:val="nil"/>
              <w:bottom w:val="single" w:sz="4" w:space="0" w:color="auto"/>
              <w:right w:val="single" w:sz="4" w:space="0" w:color="auto"/>
            </w:tcBorders>
            <w:shd w:val="clear" w:color="auto" w:fill="auto"/>
            <w:noWrap/>
            <w:vAlign w:val="bottom"/>
            <w:hideMark/>
          </w:tcPr>
          <w:p w14:paraId="52A1918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527</w:t>
            </w:r>
          </w:p>
        </w:tc>
        <w:tc>
          <w:tcPr>
            <w:tcW w:w="1296" w:type="dxa"/>
            <w:tcBorders>
              <w:top w:val="nil"/>
              <w:left w:val="nil"/>
              <w:bottom w:val="single" w:sz="4" w:space="0" w:color="auto"/>
              <w:right w:val="single" w:sz="4" w:space="0" w:color="auto"/>
            </w:tcBorders>
            <w:shd w:val="clear" w:color="auto" w:fill="auto"/>
            <w:noWrap/>
            <w:vAlign w:val="bottom"/>
            <w:hideMark/>
          </w:tcPr>
          <w:p w14:paraId="1B598A9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47.6 (2%)</w:t>
            </w:r>
          </w:p>
        </w:tc>
        <w:tc>
          <w:tcPr>
            <w:tcW w:w="1397" w:type="dxa"/>
            <w:tcBorders>
              <w:top w:val="nil"/>
              <w:left w:val="nil"/>
              <w:bottom w:val="single" w:sz="4" w:space="0" w:color="auto"/>
              <w:right w:val="single" w:sz="4" w:space="0" w:color="auto"/>
            </w:tcBorders>
            <w:shd w:val="clear" w:color="auto" w:fill="auto"/>
            <w:noWrap/>
            <w:vAlign w:val="bottom"/>
            <w:hideMark/>
          </w:tcPr>
          <w:p w14:paraId="5527924F"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14.3 (-3%)</w:t>
            </w:r>
          </w:p>
        </w:tc>
        <w:tc>
          <w:tcPr>
            <w:tcW w:w="1627" w:type="dxa"/>
            <w:tcBorders>
              <w:top w:val="nil"/>
              <w:left w:val="nil"/>
              <w:bottom w:val="single" w:sz="4" w:space="0" w:color="auto"/>
              <w:right w:val="single" w:sz="4" w:space="0" w:color="auto"/>
            </w:tcBorders>
            <w:shd w:val="clear" w:color="auto" w:fill="auto"/>
            <w:noWrap/>
            <w:vAlign w:val="bottom"/>
            <w:hideMark/>
          </w:tcPr>
          <w:p w14:paraId="6A24C267"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95.2 (10%)</w:t>
            </w:r>
          </w:p>
        </w:tc>
      </w:tr>
      <w:tr w:rsidR="00F177CE" w:rsidRPr="00F177CE" w14:paraId="0CF1FDA8"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643A53BE" w14:textId="050BC72C"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6474E5">
              <w:rPr>
                <w:rFonts w:eastAsia="Times New Roman"/>
                <w:color w:val="000000"/>
                <w:sz w:val="22"/>
                <w:szCs w:val="22"/>
                <w:lang w:val="en-US" w:eastAsia="ru-RU"/>
              </w:rPr>
              <w:t>6</w:t>
            </w:r>
          </w:p>
        </w:tc>
        <w:tc>
          <w:tcPr>
            <w:tcW w:w="960" w:type="dxa"/>
            <w:tcBorders>
              <w:top w:val="nil"/>
              <w:left w:val="nil"/>
              <w:bottom w:val="single" w:sz="4" w:space="0" w:color="auto"/>
              <w:right w:val="single" w:sz="4" w:space="0" w:color="auto"/>
            </w:tcBorders>
            <w:shd w:val="clear" w:color="auto" w:fill="auto"/>
            <w:noWrap/>
            <w:vAlign w:val="bottom"/>
            <w:hideMark/>
          </w:tcPr>
          <w:p w14:paraId="2CAB959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324</w:t>
            </w:r>
          </w:p>
        </w:tc>
        <w:tc>
          <w:tcPr>
            <w:tcW w:w="1296" w:type="dxa"/>
            <w:tcBorders>
              <w:top w:val="nil"/>
              <w:left w:val="nil"/>
              <w:bottom w:val="single" w:sz="4" w:space="0" w:color="auto"/>
              <w:right w:val="single" w:sz="4" w:space="0" w:color="auto"/>
            </w:tcBorders>
            <w:shd w:val="clear" w:color="auto" w:fill="auto"/>
            <w:noWrap/>
            <w:vAlign w:val="bottom"/>
            <w:hideMark/>
          </w:tcPr>
          <w:p w14:paraId="4D96751B"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48.8 (5%)</w:t>
            </w:r>
          </w:p>
        </w:tc>
        <w:tc>
          <w:tcPr>
            <w:tcW w:w="1397" w:type="dxa"/>
            <w:tcBorders>
              <w:top w:val="nil"/>
              <w:left w:val="nil"/>
              <w:bottom w:val="single" w:sz="4" w:space="0" w:color="auto"/>
              <w:right w:val="single" w:sz="4" w:space="0" w:color="auto"/>
            </w:tcBorders>
            <w:shd w:val="clear" w:color="auto" w:fill="auto"/>
            <w:noWrap/>
            <w:vAlign w:val="bottom"/>
            <w:hideMark/>
          </w:tcPr>
          <w:p w14:paraId="20176FF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14.5 (-2%)</w:t>
            </w:r>
          </w:p>
        </w:tc>
        <w:tc>
          <w:tcPr>
            <w:tcW w:w="1627" w:type="dxa"/>
            <w:tcBorders>
              <w:top w:val="nil"/>
              <w:left w:val="nil"/>
              <w:bottom w:val="single" w:sz="4" w:space="0" w:color="auto"/>
              <w:right w:val="single" w:sz="4" w:space="0" w:color="auto"/>
            </w:tcBorders>
            <w:shd w:val="clear" w:color="auto" w:fill="auto"/>
            <w:noWrap/>
            <w:vAlign w:val="bottom"/>
            <w:hideMark/>
          </w:tcPr>
          <w:p w14:paraId="3E2E2FF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7213B1C0"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3A9CC5FC" w14:textId="04DDB3FC"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6474E5">
              <w:rPr>
                <w:rFonts w:eastAsia="Times New Roman"/>
                <w:color w:val="000000"/>
                <w:sz w:val="22"/>
                <w:szCs w:val="22"/>
                <w:lang w:val="en-US" w:eastAsia="ru-RU"/>
              </w:rPr>
              <w:t>10</w:t>
            </w:r>
          </w:p>
        </w:tc>
        <w:tc>
          <w:tcPr>
            <w:tcW w:w="960" w:type="dxa"/>
            <w:tcBorders>
              <w:top w:val="nil"/>
              <w:left w:val="nil"/>
              <w:bottom w:val="single" w:sz="4" w:space="0" w:color="auto"/>
              <w:right w:val="single" w:sz="4" w:space="0" w:color="auto"/>
            </w:tcBorders>
            <w:shd w:val="clear" w:color="auto" w:fill="auto"/>
            <w:noWrap/>
            <w:vAlign w:val="bottom"/>
            <w:hideMark/>
          </w:tcPr>
          <w:p w14:paraId="2B6437FA"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480</w:t>
            </w:r>
          </w:p>
        </w:tc>
        <w:tc>
          <w:tcPr>
            <w:tcW w:w="1296" w:type="dxa"/>
            <w:tcBorders>
              <w:top w:val="nil"/>
              <w:left w:val="nil"/>
              <w:bottom w:val="single" w:sz="4" w:space="0" w:color="auto"/>
              <w:right w:val="single" w:sz="4" w:space="0" w:color="auto"/>
            </w:tcBorders>
            <w:shd w:val="clear" w:color="auto" w:fill="auto"/>
            <w:noWrap/>
            <w:vAlign w:val="bottom"/>
            <w:hideMark/>
          </w:tcPr>
          <w:p w14:paraId="3EC44D1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49.0 (5%)</w:t>
            </w:r>
          </w:p>
        </w:tc>
        <w:tc>
          <w:tcPr>
            <w:tcW w:w="1397" w:type="dxa"/>
            <w:tcBorders>
              <w:top w:val="nil"/>
              <w:left w:val="nil"/>
              <w:bottom w:val="single" w:sz="4" w:space="0" w:color="auto"/>
              <w:right w:val="single" w:sz="4" w:space="0" w:color="auto"/>
            </w:tcBorders>
            <w:shd w:val="clear" w:color="auto" w:fill="auto"/>
            <w:noWrap/>
            <w:vAlign w:val="bottom"/>
            <w:hideMark/>
          </w:tcPr>
          <w:p w14:paraId="0BCE019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14.3 (-3%)</w:t>
            </w:r>
          </w:p>
        </w:tc>
        <w:tc>
          <w:tcPr>
            <w:tcW w:w="1627" w:type="dxa"/>
            <w:tcBorders>
              <w:top w:val="nil"/>
              <w:left w:val="nil"/>
              <w:bottom w:val="single" w:sz="4" w:space="0" w:color="auto"/>
              <w:right w:val="single" w:sz="4" w:space="0" w:color="auto"/>
            </w:tcBorders>
            <w:shd w:val="clear" w:color="auto" w:fill="auto"/>
            <w:noWrap/>
            <w:vAlign w:val="bottom"/>
            <w:hideMark/>
          </w:tcPr>
          <w:p w14:paraId="7920957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7C8A35C7"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78970EC1" w14:textId="4A4912C7"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6474E5">
              <w:rPr>
                <w:rFonts w:eastAsia="Times New Roman"/>
                <w:color w:val="000000"/>
                <w:sz w:val="22"/>
                <w:szCs w:val="22"/>
                <w:lang w:val="en-US" w:eastAsia="ru-RU"/>
              </w:rPr>
              <w:t>20</w:t>
            </w:r>
          </w:p>
        </w:tc>
        <w:tc>
          <w:tcPr>
            <w:tcW w:w="960" w:type="dxa"/>
            <w:tcBorders>
              <w:top w:val="nil"/>
              <w:left w:val="nil"/>
              <w:bottom w:val="single" w:sz="4" w:space="0" w:color="auto"/>
              <w:right w:val="single" w:sz="4" w:space="0" w:color="auto"/>
            </w:tcBorders>
            <w:shd w:val="clear" w:color="auto" w:fill="auto"/>
            <w:noWrap/>
            <w:vAlign w:val="bottom"/>
            <w:hideMark/>
          </w:tcPr>
          <w:p w14:paraId="561DF3A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870</w:t>
            </w:r>
          </w:p>
        </w:tc>
        <w:tc>
          <w:tcPr>
            <w:tcW w:w="1296" w:type="dxa"/>
            <w:tcBorders>
              <w:top w:val="nil"/>
              <w:left w:val="nil"/>
              <w:bottom w:val="single" w:sz="4" w:space="0" w:color="auto"/>
              <w:right w:val="single" w:sz="4" w:space="0" w:color="auto"/>
            </w:tcBorders>
            <w:shd w:val="clear" w:color="auto" w:fill="auto"/>
            <w:noWrap/>
            <w:vAlign w:val="bottom"/>
            <w:hideMark/>
          </w:tcPr>
          <w:p w14:paraId="5618488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48.3 (4%)</w:t>
            </w:r>
          </w:p>
        </w:tc>
        <w:tc>
          <w:tcPr>
            <w:tcW w:w="1397" w:type="dxa"/>
            <w:tcBorders>
              <w:top w:val="nil"/>
              <w:left w:val="nil"/>
              <w:bottom w:val="single" w:sz="4" w:space="0" w:color="auto"/>
              <w:right w:val="single" w:sz="4" w:space="0" w:color="auto"/>
            </w:tcBorders>
            <w:shd w:val="clear" w:color="auto" w:fill="auto"/>
            <w:noWrap/>
            <w:vAlign w:val="bottom"/>
            <w:hideMark/>
          </w:tcPr>
          <w:p w14:paraId="7CA2F8C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14.4 (-3%)</w:t>
            </w:r>
          </w:p>
        </w:tc>
        <w:tc>
          <w:tcPr>
            <w:tcW w:w="1627" w:type="dxa"/>
            <w:tcBorders>
              <w:top w:val="nil"/>
              <w:left w:val="nil"/>
              <w:bottom w:val="single" w:sz="4" w:space="0" w:color="auto"/>
              <w:right w:val="single" w:sz="4" w:space="0" w:color="auto"/>
            </w:tcBorders>
            <w:shd w:val="clear" w:color="auto" w:fill="auto"/>
            <w:noWrap/>
            <w:vAlign w:val="bottom"/>
            <w:hideMark/>
          </w:tcPr>
          <w:p w14:paraId="132E915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0DDD887D"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5D3E1392" w14:textId="04EE4F11"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6474E5">
              <w:rPr>
                <w:rFonts w:eastAsia="Times New Roman"/>
                <w:color w:val="000000"/>
                <w:sz w:val="22"/>
                <w:szCs w:val="22"/>
                <w:lang w:val="en-US" w:eastAsia="ru-RU"/>
              </w:rPr>
              <w:t>6</w:t>
            </w:r>
          </w:p>
        </w:tc>
        <w:tc>
          <w:tcPr>
            <w:tcW w:w="960" w:type="dxa"/>
            <w:tcBorders>
              <w:top w:val="nil"/>
              <w:left w:val="nil"/>
              <w:bottom w:val="single" w:sz="4" w:space="0" w:color="auto"/>
              <w:right w:val="single" w:sz="4" w:space="0" w:color="auto"/>
            </w:tcBorders>
            <w:shd w:val="clear" w:color="auto" w:fill="auto"/>
            <w:noWrap/>
            <w:vAlign w:val="bottom"/>
            <w:hideMark/>
          </w:tcPr>
          <w:p w14:paraId="3181A0A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356</w:t>
            </w:r>
          </w:p>
        </w:tc>
        <w:tc>
          <w:tcPr>
            <w:tcW w:w="1296" w:type="dxa"/>
            <w:tcBorders>
              <w:top w:val="nil"/>
              <w:left w:val="nil"/>
              <w:bottom w:val="single" w:sz="4" w:space="0" w:color="auto"/>
              <w:right w:val="single" w:sz="4" w:space="0" w:color="auto"/>
            </w:tcBorders>
            <w:shd w:val="clear" w:color="auto" w:fill="auto"/>
            <w:noWrap/>
            <w:vAlign w:val="bottom"/>
            <w:hideMark/>
          </w:tcPr>
          <w:p w14:paraId="54FE087A"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48.4 (4%)</w:t>
            </w:r>
          </w:p>
        </w:tc>
        <w:tc>
          <w:tcPr>
            <w:tcW w:w="1397" w:type="dxa"/>
            <w:tcBorders>
              <w:top w:val="nil"/>
              <w:left w:val="nil"/>
              <w:bottom w:val="single" w:sz="4" w:space="0" w:color="auto"/>
              <w:right w:val="single" w:sz="4" w:space="0" w:color="auto"/>
            </w:tcBorders>
            <w:shd w:val="clear" w:color="auto" w:fill="auto"/>
            <w:noWrap/>
            <w:vAlign w:val="bottom"/>
            <w:hideMark/>
          </w:tcPr>
          <w:p w14:paraId="3098254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14.5 (-2%)</w:t>
            </w:r>
          </w:p>
        </w:tc>
        <w:tc>
          <w:tcPr>
            <w:tcW w:w="1627" w:type="dxa"/>
            <w:tcBorders>
              <w:top w:val="nil"/>
              <w:left w:val="nil"/>
              <w:bottom w:val="single" w:sz="4" w:space="0" w:color="auto"/>
              <w:right w:val="single" w:sz="4" w:space="0" w:color="auto"/>
            </w:tcBorders>
            <w:shd w:val="clear" w:color="auto" w:fill="auto"/>
            <w:noWrap/>
            <w:vAlign w:val="bottom"/>
            <w:hideMark/>
          </w:tcPr>
          <w:p w14:paraId="57DB29C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98.7 (14%)</w:t>
            </w:r>
          </w:p>
        </w:tc>
      </w:tr>
      <w:tr w:rsidR="00F177CE" w:rsidRPr="00F177CE" w14:paraId="38D9B32D"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06C9DFCE" w14:textId="74F43144"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Type II, L = 4, M = 1</w:t>
            </w:r>
            <w:r w:rsidR="006474E5">
              <w:rPr>
                <w:rFonts w:eastAsia="Times New Roman"/>
                <w:color w:val="000000"/>
                <w:sz w:val="22"/>
                <w:szCs w:val="22"/>
                <w:lang w:val="en-US" w:eastAsia="ru-RU"/>
              </w:rPr>
              <w:t>0</w:t>
            </w:r>
          </w:p>
        </w:tc>
        <w:tc>
          <w:tcPr>
            <w:tcW w:w="960" w:type="dxa"/>
            <w:tcBorders>
              <w:top w:val="nil"/>
              <w:left w:val="nil"/>
              <w:bottom w:val="single" w:sz="4" w:space="0" w:color="auto"/>
              <w:right w:val="single" w:sz="4" w:space="0" w:color="auto"/>
            </w:tcBorders>
            <w:shd w:val="clear" w:color="auto" w:fill="auto"/>
            <w:noWrap/>
            <w:vAlign w:val="bottom"/>
            <w:hideMark/>
          </w:tcPr>
          <w:p w14:paraId="099BA4C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512</w:t>
            </w:r>
          </w:p>
        </w:tc>
        <w:tc>
          <w:tcPr>
            <w:tcW w:w="1296" w:type="dxa"/>
            <w:tcBorders>
              <w:top w:val="nil"/>
              <w:left w:val="nil"/>
              <w:bottom w:val="single" w:sz="4" w:space="0" w:color="auto"/>
              <w:right w:val="single" w:sz="4" w:space="0" w:color="auto"/>
            </w:tcBorders>
            <w:shd w:val="clear" w:color="auto" w:fill="auto"/>
            <w:noWrap/>
            <w:vAlign w:val="bottom"/>
            <w:hideMark/>
          </w:tcPr>
          <w:p w14:paraId="330C151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49.5 (6%)</w:t>
            </w:r>
          </w:p>
        </w:tc>
        <w:tc>
          <w:tcPr>
            <w:tcW w:w="1397" w:type="dxa"/>
            <w:tcBorders>
              <w:top w:val="nil"/>
              <w:left w:val="nil"/>
              <w:bottom w:val="single" w:sz="4" w:space="0" w:color="auto"/>
              <w:right w:val="single" w:sz="4" w:space="0" w:color="auto"/>
            </w:tcBorders>
            <w:shd w:val="clear" w:color="auto" w:fill="auto"/>
            <w:noWrap/>
            <w:vAlign w:val="bottom"/>
            <w:hideMark/>
          </w:tcPr>
          <w:p w14:paraId="71920E2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14.4 (-3%)</w:t>
            </w:r>
          </w:p>
        </w:tc>
        <w:tc>
          <w:tcPr>
            <w:tcW w:w="1627" w:type="dxa"/>
            <w:tcBorders>
              <w:top w:val="nil"/>
              <w:left w:val="nil"/>
              <w:bottom w:val="single" w:sz="4" w:space="0" w:color="auto"/>
              <w:right w:val="single" w:sz="4" w:space="0" w:color="auto"/>
            </w:tcBorders>
            <w:shd w:val="clear" w:color="auto" w:fill="auto"/>
            <w:noWrap/>
            <w:vAlign w:val="bottom"/>
            <w:hideMark/>
          </w:tcPr>
          <w:p w14:paraId="0B362FF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5529985F"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12BB868A" w14:textId="45B7CF38"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6474E5">
              <w:rPr>
                <w:rFonts w:eastAsia="Times New Roman"/>
                <w:color w:val="000000"/>
                <w:sz w:val="22"/>
                <w:szCs w:val="22"/>
                <w:lang w:val="en-US" w:eastAsia="ru-RU"/>
              </w:rPr>
              <w:t>28</w:t>
            </w:r>
          </w:p>
        </w:tc>
        <w:tc>
          <w:tcPr>
            <w:tcW w:w="960" w:type="dxa"/>
            <w:tcBorders>
              <w:top w:val="nil"/>
              <w:left w:val="nil"/>
              <w:bottom w:val="single" w:sz="4" w:space="0" w:color="auto"/>
              <w:right w:val="single" w:sz="4" w:space="0" w:color="auto"/>
            </w:tcBorders>
            <w:shd w:val="clear" w:color="auto" w:fill="auto"/>
            <w:noWrap/>
            <w:vAlign w:val="bottom"/>
            <w:hideMark/>
          </w:tcPr>
          <w:p w14:paraId="3F2510A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1214</w:t>
            </w:r>
          </w:p>
        </w:tc>
        <w:tc>
          <w:tcPr>
            <w:tcW w:w="1296" w:type="dxa"/>
            <w:tcBorders>
              <w:top w:val="nil"/>
              <w:left w:val="nil"/>
              <w:bottom w:val="single" w:sz="4" w:space="0" w:color="auto"/>
              <w:right w:val="single" w:sz="4" w:space="0" w:color="auto"/>
            </w:tcBorders>
            <w:shd w:val="clear" w:color="auto" w:fill="auto"/>
            <w:noWrap/>
            <w:vAlign w:val="bottom"/>
            <w:hideMark/>
          </w:tcPr>
          <w:p w14:paraId="0BFCE38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49.3 (6%)</w:t>
            </w:r>
          </w:p>
        </w:tc>
        <w:tc>
          <w:tcPr>
            <w:tcW w:w="1397" w:type="dxa"/>
            <w:tcBorders>
              <w:top w:val="nil"/>
              <w:left w:val="nil"/>
              <w:bottom w:val="single" w:sz="4" w:space="0" w:color="auto"/>
              <w:right w:val="single" w:sz="4" w:space="0" w:color="auto"/>
            </w:tcBorders>
            <w:shd w:val="clear" w:color="auto" w:fill="auto"/>
            <w:noWrap/>
            <w:vAlign w:val="bottom"/>
            <w:hideMark/>
          </w:tcPr>
          <w:p w14:paraId="7FB1C4D3"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14.4 (-3%)</w:t>
            </w:r>
          </w:p>
        </w:tc>
        <w:tc>
          <w:tcPr>
            <w:tcW w:w="1627" w:type="dxa"/>
            <w:tcBorders>
              <w:top w:val="nil"/>
              <w:left w:val="nil"/>
              <w:bottom w:val="single" w:sz="4" w:space="0" w:color="auto"/>
              <w:right w:val="single" w:sz="4" w:space="0" w:color="auto"/>
            </w:tcBorders>
            <w:shd w:val="clear" w:color="auto" w:fill="auto"/>
            <w:noWrap/>
            <w:vAlign w:val="bottom"/>
            <w:hideMark/>
          </w:tcPr>
          <w:p w14:paraId="61D8CC7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102.6 (18%)</w:t>
            </w:r>
          </w:p>
        </w:tc>
      </w:tr>
    </w:tbl>
    <w:p w14:paraId="301303FA" w14:textId="175E8905" w:rsidR="00F177CE" w:rsidRDefault="00855820" w:rsidP="00855820">
      <w:pPr>
        <w:spacing w:before="240"/>
        <w:jc w:val="both"/>
        <w:rPr>
          <w:sz w:val="22"/>
        </w:rPr>
      </w:pPr>
      <w:r>
        <w:rPr>
          <w:sz w:val="22"/>
        </w:rPr>
        <w:t>A</w:t>
      </w:r>
      <w:r w:rsidR="00704600">
        <w:rPr>
          <w:sz w:val="22"/>
        </w:rPr>
        <w:t>s</w:t>
      </w:r>
      <w:r>
        <w:rPr>
          <w:sz w:val="22"/>
        </w:rPr>
        <w:t xml:space="preserve"> it can be observed from the above evaluation resul</w:t>
      </w:r>
      <w:r w:rsidR="00704600">
        <w:rPr>
          <w:sz w:val="22"/>
        </w:rPr>
        <w:t>ts, reporting overhead of Type II CSI feedback extension to rank 3 and 4 can be dramatically reduced by limiting number of reported coefficients without degradation of system performance. For ex</w:t>
      </w:r>
      <w:bookmarkStart w:id="0" w:name="_GoBack"/>
      <w:bookmarkEnd w:id="0"/>
      <w:r w:rsidR="00704600">
        <w:rPr>
          <w:sz w:val="22"/>
        </w:rPr>
        <w:t xml:space="preserve">ample, performance of Type II CSI extension to rank 3 and 4 with </w:t>
      </w:r>
      <w:r w:rsidR="00704600" w:rsidRPr="008121AD">
        <w:rPr>
          <w:i/>
          <w:sz w:val="22"/>
        </w:rPr>
        <w:t>M</w:t>
      </w:r>
      <w:r w:rsidR="00704600">
        <w:rPr>
          <w:sz w:val="22"/>
        </w:rPr>
        <w:t xml:space="preserve"> = </w:t>
      </w:r>
      <w:r w:rsidR="00761F2C">
        <w:rPr>
          <w:sz w:val="22"/>
        </w:rPr>
        <w:t>28</w:t>
      </w:r>
      <w:r w:rsidR="00704600">
        <w:rPr>
          <w:sz w:val="22"/>
        </w:rPr>
        <w:t xml:space="preserve"> and </w:t>
      </w:r>
      <w:r w:rsidR="00704600" w:rsidRPr="008121AD">
        <w:rPr>
          <w:i/>
          <w:sz w:val="22"/>
        </w:rPr>
        <w:t>M</w:t>
      </w:r>
      <w:r w:rsidR="00704600">
        <w:rPr>
          <w:sz w:val="22"/>
        </w:rPr>
        <w:t xml:space="preserve"> = 1</w:t>
      </w:r>
      <w:r w:rsidR="00761F2C">
        <w:rPr>
          <w:sz w:val="22"/>
        </w:rPr>
        <w:t>0</w:t>
      </w:r>
      <w:r w:rsidR="00704600">
        <w:rPr>
          <w:sz w:val="22"/>
        </w:rPr>
        <w:t xml:space="preserve"> is equivalent, </w:t>
      </w:r>
      <w:r w:rsidR="007B3EE1">
        <w:rPr>
          <w:sz w:val="22"/>
        </w:rPr>
        <w:t>while</w:t>
      </w:r>
      <w:r w:rsidR="00704600">
        <w:rPr>
          <w:sz w:val="22"/>
        </w:rPr>
        <w:t xml:space="preserve"> reporting overhead</w:t>
      </w:r>
      <w:r w:rsidR="007B3EE1">
        <w:rPr>
          <w:sz w:val="22"/>
        </w:rPr>
        <w:t xml:space="preserve"> </w:t>
      </w:r>
      <w:r w:rsidR="004C792C">
        <w:rPr>
          <w:sz w:val="22"/>
        </w:rPr>
        <w:t>of</w:t>
      </w:r>
      <w:r w:rsidR="007B3EE1">
        <w:rPr>
          <w:sz w:val="22"/>
        </w:rPr>
        <w:t xml:space="preserve"> Type II CSI with </w:t>
      </w:r>
      <w:r w:rsidR="007B3EE1" w:rsidRPr="008121AD">
        <w:rPr>
          <w:i/>
          <w:sz w:val="22"/>
        </w:rPr>
        <w:t>M</w:t>
      </w:r>
      <w:r w:rsidR="007B3EE1">
        <w:rPr>
          <w:sz w:val="22"/>
        </w:rPr>
        <w:t xml:space="preserve"> = 10</w:t>
      </w:r>
      <w:r w:rsidR="00704600">
        <w:rPr>
          <w:sz w:val="22"/>
        </w:rPr>
        <w:t xml:space="preserve"> is more than two times lower</w:t>
      </w:r>
      <w:r w:rsidR="007B3EE1">
        <w:rPr>
          <w:sz w:val="22"/>
        </w:rPr>
        <w:t xml:space="preserve"> comparing to the case with </w:t>
      </w:r>
      <w:r w:rsidR="007B3EE1" w:rsidRPr="008121AD">
        <w:rPr>
          <w:i/>
          <w:sz w:val="22"/>
        </w:rPr>
        <w:t>M</w:t>
      </w:r>
      <w:r w:rsidR="007B3EE1">
        <w:rPr>
          <w:sz w:val="22"/>
        </w:rPr>
        <w:t xml:space="preserve"> = 28</w:t>
      </w:r>
      <w:r w:rsidR="00704600">
        <w:rPr>
          <w:sz w:val="22"/>
        </w:rPr>
        <w:t>.</w:t>
      </w:r>
      <w:r w:rsidR="007B3EE1">
        <w:rPr>
          <w:sz w:val="22"/>
        </w:rPr>
        <w:t xml:space="preserve"> </w:t>
      </w:r>
    </w:p>
    <w:p w14:paraId="61E59328" w14:textId="392A7059" w:rsidR="00704600" w:rsidRPr="00704600" w:rsidRDefault="00704600" w:rsidP="00855820">
      <w:pPr>
        <w:spacing w:before="240"/>
        <w:jc w:val="both"/>
        <w:rPr>
          <w:b/>
          <w:i/>
          <w:sz w:val="22"/>
        </w:rPr>
      </w:pPr>
      <w:r w:rsidRPr="00704600">
        <w:rPr>
          <w:b/>
          <w:i/>
          <w:sz w:val="22"/>
        </w:rPr>
        <w:t>Observation</w:t>
      </w:r>
    </w:p>
    <w:p w14:paraId="2C24CDE4" w14:textId="58698979" w:rsidR="00704600" w:rsidRDefault="00704600" w:rsidP="00704600">
      <w:pPr>
        <w:pStyle w:val="ListParagraph"/>
        <w:numPr>
          <w:ilvl w:val="0"/>
          <w:numId w:val="29"/>
        </w:numPr>
        <w:spacing w:before="240"/>
        <w:jc w:val="both"/>
        <w:rPr>
          <w:rFonts w:ascii="Times New Roman" w:hAnsi="Times New Roman"/>
          <w:i/>
        </w:rPr>
      </w:pPr>
      <w:r w:rsidRPr="00704600">
        <w:rPr>
          <w:rFonts w:ascii="Times New Roman" w:hAnsi="Times New Roman"/>
          <w:i/>
        </w:rPr>
        <w:t>Reporting overhead of Type II CSI feedback extension to rank 3 and 4 can be dramatically reduced</w:t>
      </w:r>
      <w:r w:rsidR="00FE3B54" w:rsidRPr="00FE3B54">
        <w:rPr>
          <w:rFonts w:ascii="Times New Roman" w:hAnsi="Times New Roman"/>
          <w:i/>
        </w:rPr>
        <w:t xml:space="preserve"> </w:t>
      </w:r>
      <w:r w:rsidR="00FE3B54" w:rsidRPr="00704600">
        <w:rPr>
          <w:rFonts w:ascii="Times New Roman" w:hAnsi="Times New Roman"/>
          <w:i/>
        </w:rPr>
        <w:t>without degradation of performance</w:t>
      </w:r>
      <w:r w:rsidRPr="00704600">
        <w:rPr>
          <w:rFonts w:ascii="Times New Roman" w:hAnsi="Times New Roman"/>
          <w:i/>
        </w:rPr>
        <w:t xml:space="preserve"> by limiting number of reported coefficients </w:t>
      </w:r>
    </w:p>
    <w:p w14:paraId="3C2FF23C" w14:textId="42D4ACB2" w:rsidR="00704600" w:rsidRPr="00A328A2" w:rsidRDefault="00704600" w:rsidP="00704600">
      <w:pPr>
        <w:spacing w:before="240"/>
        <w:jc w:val="both"/>
        <w:rPr>
          <w:b/>
          <w:i/>
        </w:rPr>
      </w:pPr>
      <w:r w:rsidRPr="00A328A2">
        <w:rPr>
          <w:b/>
          <w:i/>
        </w:rPr>
        <w:t>Proposal</w:t>
      </w:r>
    </w:p>
    <w:p w14:paraId="41F3D8E5" w14:textId="503323C4" w:rsidR="00704600" w:rsidRPr="00A328A2" w:rsidRDefault="00A328A2" w:rsidP="00A328A2">
      <w:pPr>
        <w:pStyle w:val="ListParagraph"/>
        <w:numPr>
          <w:ilvl w:val="0"/>
          <w:numId w:val="29"/>
        </w:numPr>
        <w:spacing w:before="240"/>
        <w:jc w:val="both"/>
        <w:rPr>
          <w:rFonts w:ascii="Times New Roman" w:hAnsi="Times New Roman"/>
          <w:i/>
        </w:rPr>
      </w:pPr>
      <w:r w:rsidRPr="00A328A2">
        <w:rPr>
          <w:rFonts w:ascii="Times New Roman" w:hAnsi="Times New Roman"/>
          <w:i/>
        </w:rPr>
        <w:t>Consider extension of Rel. 15 Type II CSI to higher ranks with limited number of reported coefficients as starting point for</w:t>
      </w:r>
      <w:r w:rsidR="00A05E6A">
        <w:rPr>
          <w:rFonts w:ascii="Times New Roman" w:hAnsi="Times New Roman"/>
          <w:i/>
        </w:rPr>
        <w:t xml:space="preserve"> further</w:t>
      </w:r>
      <w:r w:rsidRPr="00A328A2">
        <w:rPr>
          <w:rFonts w:ascii="Times New Roman" w:hAnsi="Times New Roman"/>
          <w:i/>
        </w:rPr>
        <w:t xml:space="preserve"> study</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3889031F" w14:textId="24FA3934" w:rsidR="00405A60" w:rsidRDefault="00405A60" w:rsidP="00CF623B">
      <w:pPr>
        <w:jc w:val="both"/>
        <w:rPr>
          <w:sz w:val="22"/>
          <w:szCs w:val="22"/>
          <w:lang w:val="en-US"/>
        </w:rPr>
      </w:pPr>
      <w:r>
        <w:rPr>
          <w:sz w:val="22"/>
          <w:szCs w:val="22"/>
          <w:lang w:val="en-US"/>
        </w:rPr>
        <w:t xml:space="preserve">In this contribution </w:t>
      </w:r>
      <w:r w:rsidRPr="00405A60">
        <w:rPr>
          <w:sz w:val="22"/>
          <w:szCs w:val="22"/>
          <w:lang w:val="en-US"/>
        </w:rPr>
        <w:t>the support of higher ranks for Type II CSI</w:t>
      </w:r>
      <w:r w:rsidR="009C4B45">
        <w:rPr>
          <w:sz w:val="22"/>
          <w:szCs w:val="22"/>
          <w:lang w:val="en-US"/>
        </w:rPr>
        <w:t xml:space="preserve"> is discussed. The following observation and proposal</w:t>
      </w:r>
      <w:r>
        <w:rPr>
          <w:sz w:val="22"/>
          <w:szCs w:val="22"/>
          <w:lang w:val="en-US"/>
        </w:rPr>
        <w:t xml:space="preserve"> were made</w:t>
      </w:r>
      <w:r w:rsidR="00D96DF2">
        <w:rPr>
          <w:sz w:val="22"/>
          <w:szCs w:val="22"/>
          <w:lang w:val="en-US"/>
        </w:rPr>
        <w:t>.</w:t>
      </w:r>
    </w:p>
    <w:p w14:paraId="326DC864" w14:textId="77777777" w:rsidR="000F6EEC" w:rsidRPr="00704600" w:rsidRDefault="000F6EEC" w:rsidP="000F6EEC">
      <w:pPr>
        <w:spacing w:before="240"/>
        <w:jc w:val="both"/>
        <w:rPr>
          <w:b/>
          <w:i/>
          <w:sz w:val="22"/>
        </w:rPr>
      </w:pPr>
      <w:r w:rsidRPr="00704600">
        <w:rPr>
          <w:b/>
          <w:i/>
          <w:sz w:val="22"/>
        </w:rPr>
        <w:t>Observation</w:t>
      </w:r>
    </w:p>
    <w:p w14:paraId="38AD6F68" w14:textId="4C00DEA0" w:rsidR="000F6EEC" w:rsidRDefault="000F6EEC" w:rsidP="000F6EEC">
      <w:pPr>
        <w:pStyle w:val="ListParagraph"/>
        <w:numPr>
          <w:ilvl w:val="0"/>
          <w:numId w:val="29"/>
        </w:numPr>
        <w:spacing w:before="240"/>
        <w:jc w:val="both"/>
        <w:rPr>
          <w:rFonts w:ascii="Times New Roman" w:hAnsi="Times New Roman"/>
          <w:i/>
        </w:rPr>
      </w:pPr>
      <w:r w:rsidRPr="00704600">
        <w:rPr>
          <w:rFonts w:ascii="Times New Roman" w:hAnsi="Times New Roman"/>
          <w:i/>
        </w:rPr>
        <w:t>Reporting overhead of Type II CSI feedback extension to rank 3 and 4 can be dramatically reduced</w:t>
      </w:r>
      <w:r w:rsidR="00065761" w:rsidRPr="00065761">
        <w:rPr>
          <w:rFonts w:ascii="Times New Roman" w:hAnsi="Times New Roman"/>
          <w:i/>
        </w:rPr>
        <w:t xml:space="preserve"> </w:t>
      </w:r>
      <w:r w:rsidR="00065761" w:rsidRPr="00704600">
        <w:rPr>
          <w:rFonts w:ascii="Times New Roman" w:hAnsi="Times New Roman"/>
          <w:i/>
        </w:rPr>
        <w:t>without degradation of performance</w:t>
      </w:r>
      <w:r w:rsidRPr="00704600">
        <w:rPr>
          <w:rFonts w:ascii="Times New Roman" w:hAnsi="Times New Roman"/>
          <w:i/>
        </w:rPr>
        <w:t xml:space="preserve"> by limiting number of reported coefficients </w:t>
      </w:r>
    </w:p>
    <w:p w14:paraId="7097C2C4" w14:textId="77777777" w:rsidR="000F6EEC" w:rsidRPr="00A328A2" w:rsidRDefault="000F6EEC" w:rsidP="000F6EEC">
      <w:pPr>
        <w:spacing w:before="240"/>
        <w:jc w:val="both"/>
        <w:rPr>
          <w:b/>
          <w:i/>
        </w:rPr>
      </w:pPr>
      <w:r w:rsidRPr="00A328A2">
        <w:rPr>
          <w:b/>
          <w:i/>
        </w:rPr>
        <w:t>Proposal</w:t>
      </w:r>
    </w:p>
    <w:p w14:paraId="2769228D" w14:textId="3CF09997" w:rsidR="000F6EEC" w:rsidRPr="000F6EEC" w:rsidRDefault="000F6EEC" w:rsidP="00CF623B">
      <w:pPr>
        <w:pStyle w:val="ListParagraph"/>
        <w:numPr>
          <w:ilvl w:val="0"/>
          <w:numId w:val="29"/>
        </w:numPr>
        <w:spacing w:before="240"/>
        <w:jc w:val="both"/>
        <w:rPr>
          <w:rFonts w:ascii="Times New Roman" w:hAnsi="Times New Roman"/>
          <w:i/>
        </w:rPr>
      </w:pPr>
      <w:r w:rsidRPr="00A328A2">
        <w:rPr>
          <w:rFonts w:ascii="Times New Roman" w:hAnsi="Times New Roman"/>
          <w:i/>
        </w:rPr>
        <w:t>Consider the extension of Rel. 15 Type II CSI to higher ranks with limited number of reported coefficients as starting point for</w:t>
      </w:r>
      <w:r>
        <w:rPr>
          <w:rFonts w:ascii="Times New Roman" w:hAnsi="Times New Roman"/>
          <w:i/>
        </w:rPr>
        <w:t xml:space="preserve"> further</w:t>
      </w:r>
      <w:r w:rsidRPr="00A328A2">
        <w:rPr>
          <w:rFonts w:ascii="Times New Roman" w:hAnsi="Times New Roman"/>
          <w:i/>
        </w:rPr>
        <w:t xml:space="preserve"> study</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3750C219" w14:textId="60B7B755" w:rsidR="00CD2C6A" w:rsidRDefault="006F0407" w:rsidP="006F0407">
      <w:pPr>
        <w:numPr>
          <w:ilvl w:val="0"/>
          <w:numId w:val="2"/>
        </w:numPr>
        <w:rPr>
          <w:sz w:val="22"/>
          <w:lang w:eastAsia="zh-CN"/>
        </w:rPr>
      </w:pPr>
      <w:r w:rsidRPr="006F0407">
        <w:rPr>
          <w:sz w:val="22"/>
          <w:lang w:eastAsia="zh-CN"/>
        </w:rPr>
        <w:t>RP-181453</w:t>
      </w:r>
      <w:r>
        <w:rPr>
          <w:sz w:val="22"/>
          <w:lang w:eastAsia="zh-CN"/>
        </w:rPr>
        <w:t xml:space="preserve"> </w:t>
      </w:r>
      <w:r w:rsidRPr="006F0407">
        <w:rPr>
          <w:sz w:val="22"/>
          <w:lang w:eastAsia="zh-CN"/>
        </w:rPr>
        <w:t>WI Proposal on NR MIMO Enhancements</w:t>
      </w:r>
      <w:r>
        <w:rPr>
          <w:sz w:val="22"/>
          <w:lang w:eastAsia="zh-CN"/>
        </w:rPr>
        <w:t xml:space="preserve">, </w:t>
      </w:r>
      <w:r w:rsidRPr="006F0407">
        <w:rPr>
          <w:sz w:val="22"/>
          <w:lang w:eastAsia="zh-CN"/>
        </w:rPr>
        <w:t>Samsung</w:t>
      </w:r>
    </w:p>
    <w:p w14:paraId="00253801" w14:textId="3A3F0EFA" w:rsidR="00DE2C67" w:rsidRDefault="00446A5F" w:rsidP="004B18C8">
      <w:pPr>
        <w:numPr>
          <w:ilvl w:val="0"/>
          <w:numId w:val="2"/>
        </w:numPr>
        <w:rPr>
          <w:sz w:val="22"/>
          <w:lang w:eastAsia="zh-CN"/>
        </w:rPr>
      </w:pPr>
      <w:proofErr w:type="spellStart"/>
      <w:r w:rsidRPr="00446A5F">
        <w:rPr>
          <w:sz w:val="22"/>
          <w:lang w:eastAsia="zh-CN"/>
        </w:rPr>
        <w:t>RAN1</w:t>
      </w:r>
      <w:proofErr w:type="spellEnd"/>
      <w:r w:rsidRPr="00446A5F">
        <w:rPr>
          <w:sz w:val="22"/>
          <w:lang w:eastAsia="zh-CN"/>
        </w:rPr>
        <w:t xml:space="preserve"> Chairman’s Notes</w:t>
      </w:r>
      <w:r w:rsidR="009A1861">
        <w:rPr>
          <w:sz w:val="22"/>
          <w:lang w:eastAsia="zh-CN"/>
        </w:rPr>
        <w:t xml:space="preserve">, </w:t>
      </w:r>
      <w:proofErr w:type="spellStart"/>
      <w:r w:rsidR="009A1861" w:rsidRPr="009A1861">
        <w:rPr>
          <w:sz w:val="22"/>
          <w:lang w:eastAsia="zh-CN"/>
        </w:rPr>
        <w:t>3GPP</w:t>
      </w:r>
      <w:proofErr w:type="spellEnd"/>
      <w:r w:rsidR="009A1861" w:rsidRPr="009A1861">
        <w:rPr>
          <w:sz w:val="22"/>
          <w:lang w:eastAsia="zh-CN"/>
        </w:rPr>
        <w:t xml:space="preserve"> TSG RAN </w:t>
      </w:r>
      <w:proofErr w:type="spellStart"/>
      <w:r w:rsidR="009A1861" w:rsidRPr="009A1861">
        <w:rPr>
          <w:sz w:val="22"/>
          <w:lang w:eastAsia="zh-CN"/>
        </w:rPr>
        <w:t>WG1</w:t>
      </w:r>
      <w:proofErr w:type="spellEnd"/>
      <w:r w:rsidR="009A1861" w:rsidRPr="009A1861">
        <w:rPr>
          <w:sz w:val="22"/>
          <w:lang w:eastAsia="zh-CN"/>
        </w:rPr>
        <w:t xml:space="preserve"> Meeting #</w:t>
      </w:r>
      <w:proofErr w:type="spellStart"/>
      <w:r w:rsidR="009A1861" w:rsidRPr="009A1861">
        <w:rPr>
          <w:sz w:val="22"/>
          <w:lang w:eastAsia="zh-CN"/>
        </w:rPr>
        <w:t>9</w:t>
      </w:r>
      <w:r w:rsidR="004B18C8">
        <w:rPr>
          <w:sz w:val="22"/>
          <w:lang w:eastAsia="zh-CN"/>
        </w:rPr>
        <w:t>94b</w:t>
      </w:r>
      <w:proofErr w:type="spellEnd"/>
      <w:r w:rsidR="009A1861">
        <w:rPr>
          <w:sz w:val="22"/>
          <w:lang w:eastAsia="zh-CN"/>
        </w:rPr>
        <w:t xml:space="preserve">, </w:t>
      </w:r>
      <w:r w:rsidR="004B18C8" w:rsidRPr="004B18C8">
        <w:rPr>
          <w:sz w:val="22"/>
          <w:lang w:eastAsia="zh-CN"/>
        </w:rPr>
        <w:t>Chengdu, China, October 8th – 12th, 2018</w:t>
      </w:r>
    </w:p>
    <w:p w14:paraId="202E519B" w14:textId="65726257" w:rsidR="00EB1F80" w:rsidRPr="004B18C8" w:rsidRDefault="00406770" w:rsidP="00406770">
      <w:pPr>
        <w:numPr>
          <w:ilvl w:val="0"/>
          <w:numId w:val="2"/>
        </w:numPr>
        <w:rPr>
          <w:sz w:val="22"/>
          <w:lang w:eastAsia="zh-CN"/>
        </w:rPr>
      </w:pPr>
      <w:proofErr w:type="spellStart"/>
      <w:r w:rsidRPr="00406770">
        <w:rPr>
          <w:sz w:val="22"/>
          <w:lang w:eastAsia="zh-CN"/>
        </w:rPr>
        <w:t>R1</w:t>
      </w:r>
      <w:proofErr w:type="spellEnd"/>
      <w:r w:rsidRPr="00406770">
        <w:rPr>
          <w:sz w:val="22"/>
          <w:lang w:eastAsia="zh-CN"/>
        </w:rPr>
        <w:t>-1813871</w:t>
      </w:r>
      <w:r>
        <w:rPr>
          <w:sz w:val="22"/>
          <w:lang w:eastAsia="zh-CN"/>
        </w:rPr>
        <w:t xml:space="preserve"> </w:t>
      </w:r>
      <w:r w:rsidRPr="00406770">
        <w:rPr>
          <w:sz w:val="22"/>
          <w:lang w:eastAsia="zh-CN"/>
        </w:rPr>
        <w:t>Discussion on Type II CSI compression</w:t>
      </w:r>
      <w:r>
        <w:rPr>
          <w:sz w:val="22"/>
          <w:lang w:eastAsia="zh-CN"/>
        </w:rPr>
        <w:t xml:space="preserve">, </w:t>
      </w:r>
      <w:r w:rsidRPr="00406770">
        <w:rPr>
          <w:sz w:val="22"/>
          <w:lang w:eastAsia="zh-CN"/>
        </w:rPr>
        <w:t>Intel Corporation</w:t>
      </w:r>
    </w:p>
    <w:p w14:paraId="6829314E" w14:textId="758AFCD9" w:rsidR="00783C3E" w:rsidRPr="00D206AF" w:rsidRDefault="005A4631" w:rsidP="00D206AF">
      <w:pPr>
        <w:pStyle w:val="Heading1"/>
        <w:pBdr>
          <w:top w:val="single" w:sz="12" w:space="4" w:color="auto"/>
        </w:pBdr>
        <w:ind w:left="0" w:firstLine="0"/>
        <w:rPr>
          <w:rFonts w:cs="Arial"/>
          <w:lang w:val="en-US"/>
        </w:rPr>
      </w:pPr>
      <w:r>
        <w:rPr>
          <w:rFonts w:cs="Arial"/>
          <w:lang w:val="en-US"/>
        </w:rPr>
        <w:t>Appendix</w:t>
      </w:r>
    </w:p>
    <w:p w14:paraId="7D9A3B34" w14:textId="06CA636A" w:rsidR="00783C3E" w:rsidRPr="008A0265" w:rsidRDefault="00783C3E" w:rsidP="00783C3E">
      <w:pPr>
        <w:jc w:val="center"/>
        <w:rPr>
          <w:sz w:val="22"/>
          <w:szCs w:val="22"/>
          <w:lang w:val="en-US"/>
        </w:rPr>
      </w:pPr>
      <w:r w:rsidRPr="008A0265">
        <w:rPr>
          <w:b/>
          <w:sz w:val="22"/>
          <w:szCs w:val="22"/>
          <w:lang w:val="en-US"/>
        </w:rPr>
        <w:t xml:space="preserve">Table </w:t>
      </w:r>
      <w:r w:rsidR="00D206AF">
        <w:rPr>
          <w:b/>
          <w:sz w:val="22"/>
          <w:szCs w:val="22"/>
          <w:lang w:val="en-US"/>
        </w:rPr>
        <w:t>1</w:t>
      </w:r>
      <w:r w:rsidRPr="008A0265">
        <w:rPr>
          <w:b/>
          <w:sz w:val="22"/>
          <w:szCs w:val="22"/>
          <w:lang w:val="en-US"/>
        </w:rPr>
        <w:t>.</w:t>
      </w:r>
      <w:r w:rsidRPr="008A0265">
        <w:rPr>
          <w:sz w:val="22"/>
          <w:szCs w:val="22"/>
          <w:lang w:val="en-US"/>
        </w:rPr>
        <w:t xml:space="preserve"> Evaluation assumptions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B709C5" w14:paraId="4303B8FC"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321734" w14:textId="77777777" w:rsidR="00B709C5" w:rsidRDefault="00B709C5" w:rsidP="00CA5792">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CB125CB" w14:textId="77777777" w:rsidR="00B709C5" w:rsidRDefault="00B709C5" w:rsidP="00CA5792">
            <w:pPr>
              <w:pStyle w:val="NormalsmallspacingBold"/>
              <w:jc w:val="center"/>
            </w:pPr>
            <w:r>
              <w:t>Value</w:t>
            </w:r>
          </w:p>
        </w:tc>
      </w:tr>
      <w:tr w:rsidR="00B709C5" w14:paraId="7B110304"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DC6608" w14:textId="77777777" w:rsidR="00B709C5" w:rsidRDefault="00B709C5" w:rsidP="00CA5792">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242E327" w14:textId="5B3438C9" w:rsidR="00B709C5" w:rsidRPr="007E1C8E" w:rsidRDefault="00CC4A78" w:rsidP="00CA5792">
            <w:pPr>
              <w:pStyle w:val="NormalsmallspacingBold"/>
              <w:rPr>
                <w:b w:val="0"/>
              </w:rPr>
            </w:pPr>
            <w:r w:rsidRPr="00CC4A78">
              <w:rPr>
                <w:b w:val="0"/>
                <w:sz w:val="18"/>
                <w:lang w:eastAsia="x-none"/>
              </w:rPr>
              <w:t>Dense Urban (Macro only)</w:t>
            </w:r>
          </w:p>
        </w:tc>
      </w:tr>
      <w:tr w:rsidR="00B709C5" w14:paraId="214C8FDD"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ADB078" w14:textId="77777777" w:rsidR="00B709C5" w:rsidRDefault="00B709C5" w:rsidP="00CA5792">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6057BF23" w14:textId="77777777" w:rsidR="00B709C5" w:rsidRDefault="00B709C5" w:rsidP="00CA5792">
            <w:pPr>
              <w:pStyle w:val="NormalsmallspacingBold"/>
              <w:rPr>
                <w:b w:val="0"/>
              </w:rPr>
            </w:pPr>
            <w:r>
              <w:rPr>
                <w:b w:val="0"/>
              </w:rPr>
              <w:t>Hexagonal Grid with 2 tiers</w:t>
            </w:r>
          </w:p>
        </w:tc>
      </w:tr>
      <w:tr w:rsidR="00B709C5" w14:paraId="39057C5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137C537" w14:textId="77777777" w:rsidR="00B709C5" w:rsidRDefault="00B709C5" w:rsidP="00CA5792">
            <w:pPr>
              <w:pStyle w:val="NormalsmallspacingBold"/>
            </w:pPr>
            <w:proofErr w:type="spellStart"/>
            <w:r>
              <w:t>ISD</w:t>
            </w:r>
            <w:proofErr w:type="spellEnd"/>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3957DBD" w14:textId="4BE939FB" w:rsidR="00B709C5" w:rsidRDefault="00CC4A78" w:rsidP="00CA5792">
            <w:pPr>
              <w:pStyle w:val="NormalsmallspacingBold"/>
              <w:rPr>
                <w:b w:val="0"/>
              </w:rPr>
            </w:pPr>
            <w:r>
              <w:rPr>
                <w:b w:val="0"/>
              </w:rPr>
              <w:t>2</w:t>
            </w:r>
            <w:r w:rsidR="00B709C5">
              <w:rPr>
                <w:b w:val="0"/>
              </w:rPr>
              <w:t>00 m</w:t>
            </w:r>
          </w:p>
        </w:tc>
      </w:tr>
      <w:tr w:rsidR="00B709C5" w14:paraId="346BE2F9"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7F4CA1" w14:textId="77777777" w:rsidR="00B709C5" w:rsidRDefault="00B709C5" w:rsidP="00CA5792">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08AB731D" w14:textId="77777777" w:rsidR="00B709C5" w:rsidRDefault="00B709C5" w:rsidP="00CA5792">
            <w:pPr>
              <w:pStyle w:val="NormalsmallspacingBold"/>
              <w:rPr>
                <w:b w:val="0"/>
              </w:rPr>
            </w:pPr>
            <w:r>
              <w:rPr>
                <w:b w:val="0"/>
              </w:rPr>
              <w:t>4 GHz</w:t>
            </w:r>
          </w:p>
        </w:tc>
      </w:tr>
      <w:tr w:rsidR="00B709C5" w14:paraId="671A6DD9"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EF3038" w14:textId="77777777" w:rsidR="00B709C5" w:rsidRDefault="00B709C5" w:rsidP="00CA5792">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8198BF0" w14:textId="1DCB9160" w:rsidR="00B709C5" w:rsidRDefault="00B709C5" w:rsidP="00CA5792">
            <w:pPr>
              <w:pStyle w:val="NormalsmallspacingBold"/>
              <w:rPr>
                <w:b w:val="0"/>
              </w:rPr>
            </w:pPr>
            <w:r>
              <w:rPr>
                <w:b w:val="0"/>
              </w:rPr>
              <w:t>10 MHz</w:t>
            </w:r>
            <w:r w:rsidR="00926EEC">
              <w:rPr>
                <w:b w:val="0"/>
              </w:rPr>
              <w:t xml:space="preserve"> with 15 kHz subcarrier spacing, 52 </w:t>
            </w:r>
            <w:proofErr w:type="spellStart"/>
            <w:r w:rsidR="00926EEC">
              <w:rPr>
                <w:b w:val="0"/>
              </w:rPr>
              <w:t>PRBs</w:t>
            </w:r>
            <w:proofErr w:type="spellEnd"/>
          </w:p>
        </w:tc>
      </w:tr>
      <w:tr w:rsidR="00B709C5" w14:paraId="529FF48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F4FABD" w14:textId="77777777" w:rsidR="00B709C5" w:rsidRDefault="00B709C5" w:rsidP="00CA5792">
            <w:pPr>
              <w:pStyle w:val="NormalsmallspacingBold"/>
            </w:pPr>
            <w:proofErr w:type="spellStart"/>
            <w:r>
              <w:t>Tx</w:t>
            </w:r>
            <w:proofErr w:type="spellEnd"/>
            <w:r>
              <w:t xml:space="preserve">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00442DDC" w14:textId="77777777" w:rsidR="00B709C5" w:rsidRDefault="00B709C5" w:rsidP="00CA5792">
            <w:pPr>
              <w:pStyle w:val="NormalsmallspacingBold"/>
              <w:rPr>
                <w:b w:val="0"/>
              </w:rPr>
            </w:pPr>
            <w:r>
              <w:rPr>
                <w:b w:val="0"/>
              </w:rPr>
              <w:t xml:space="preserve">41 </w:t>
            </w:r>
            <w:proofErr w:type="spellStart"/>
            <w:r>
              <w:rPr>
                <w:b w:val="0"/>
              </w:rPr>
              <w:t>dBm</w:t>
            </w:r>
            <w:proofErr w:type="spellEnd"/>
          </w:p>
        </w:tc>
      </w:tr>
      <w:tr w:rsidR="00B709C5" w14:paraId="25C47DC7"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742A25" w14:textId="77777777" w:rsidR="00B709C5" w:rsidRDefault="00B709C5" w:rsidP="00CA5792">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C81AC86" w14:textId="77777777" w:rsidR="00B709C5" w:rsidRDefault="00B709C5" w:rsidP="00CA5792">
            <w:pPr>
              <w:pStyle w:val="NormalsmallspacingBold"/>
              <w:rPr>
                <w:b w:val="0"/>
              </w:rPr>
            </w:pPr>
            <w:r>
              <w:rPr>
                <w:b w:val="0"/>
              </w:rPr>
              <w:t>Uniform 20% outdoor (30 km/h), 80% indoor (3 km/h)</w:t>
            </w:r>
          </w:p>
        </w:tc>
      </w:tr>
      <w:tr w:rsidR="00B709C5" w14:paraId="5D76BC7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1A00BF" w14:textId="77777777" w:rsidR="00B709C5" w:rsidRDefault="00B709C5" w:rsidP="00CA5792">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69BAE33" w14:textId="237F1405" w:rsidR="00B709C5" w:rsidRDefault="000F0084" w:rsidP="004B06E0">
            <w:pPr>
              <w:pStyle w:val="NormalsmallspacingBold"/>
              <w:rPr>
                <w:b w:val="0"/>
              </w:rPr>
            </w:pPr>
            <w:r>
              <w:rPr>
                <w:b w:val="0"/>
              </w:rPr>
              <w:t>4</w:t>
            </w:r>
            <w:r w:rsidR="00B709C5">
              <w:rPr>
                <w:b w:val="0"/>
              </w:rPr>
              <w:t xml:space="preserve"> Rx X-pol, slant 0/90 degrees</w:t>
            </w:r>
            <w:r>
              <w:rPr>
                <w:b w:val="0"/>
              </w:rPr>
              <w:t xml:space="preserve">, 0.5 </w:t>
            </w:r>
            <w:r w:rsidRPr="00906D1D">
              <w:rPr>
                <w:b w:val="0"/>
              </w:rPr>
              <w:t>λ</w:t>
            </w:r>
            <w:r>
              <w:rPr>
                <w:b w:val="0"/>
              </w:rPr>
              <w:t xml:space="preserve"> spacing</w:t>
            </w:r>
          </w:p>
        </w:tc>
      </w:tr>
      <w:tr w:rsidR="0035685D" w14:paraId="64C69DFE"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F554F0" w14:textId="32A80865" w:rsidR="0035685D" w:rsidRDefault="0035685D" w:rsidP="00CA5792">
            <w:pPr>
              <w:pStyle w:val="NormalsmallspacingBold"/>
            </w:pPr>
            <w:r>
              <w:t>BS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tcPr>
          <w:p w14:paraId="73C84331" w14:textId="037E6326" w:rsidR="0035685D" w:rsidRDefault="00906D1D" w:rsidP="00CA5792">
            <w:pPr>
              <w:pStyle w:val="NormalsmallspacingBold"/>
              <w:rPr>
                <w:b w:val="0"/>
              </w:rPr>
            </w:pPr>
            <w:r w:rsidRPr="00906D1D">
              <w:rPr>
                <w:b w:val="0"/>
              </w:rPr>
              <w:t>16 ports: (8,4,2,1,1,2,4), (</w:t>
            </w:r>
            <w:proofErr w:type="spellStart"/>
            <w:r w:rsidRPr="00906D1D">
              <w:rPr>
                <w:b w:val="0"/>
              </w:rPr>
              <w:t>dH,dV</w:t>
            </w:r>
            <w:proofErr w:type="spellEnd"/>
            <w:r w:rsidRPr="00906D1D">
              <w:rPr>
                <w:b w:val="0"/>
              </w:rPr>
              <w:t>) = (0.5, 0.8)λ</w:t>
            </w:r>
          </w:p>
        </w:tc>
      </w:tr>
      <w:tr w:rsidR="00B709C5" w14:paraId="5C14075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28BDDB" w14:textId="77777777" w:rsidR="00B709C5" w:rsidRDefault="00B709C5" w:rsidP="00CA5792">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9083CDF" w14:textId="429A56B3" w:rsidR="00B709C5" w:rsidRDefault="00B709C5" w:rsidP="0025299F">
            <w:pPr>
              <w:pStyle w:val="NormalsmallspacingBold"/>
              <w:rPr>
                <w:b w:val="0"/>
              </w:rPr>
            </w:pPr>
            <w:r>
              <w:rPr>
                <w:b w:val="0"/>
              </w:rPr>
              <w:t xml:space="preserve">FTP </w:t>
            </w:r>
            <w:r w:rsidR="0025299F">
              <w:rPr>
                <w:b w:val="0"/>
              </w:rPr>
              <w:t>1</w:t>
            </w:r>
            <w:r w:rsidR="00890A71">
              <w:rPr>
                <w:b w:val="0"/>
              </w:rPr>
              <w:t xml:space="preserve"> </w:t>
            </w:r>
            <w:r w:rsidR="006F3F79">
              <w:rPr>
                <w:b w:val="0"/>
              </w:rPr>
              <w:t xml:space="preserve">with </w:t>
            </w:r>
            <w:r w:rsidR="0025299F">
              <w:rPr>
                <w:b w:val="0"/>
              </w:rPr>
              <w:t>0.5</w:t>
            </w:r>
            <w:r w:rsidR="00906D1D">
              <w:rPr>
                <w:b w:val="0"/>
              </w:rPr>
              <w:t xml:space="preserve"> </w:t>
            </w:r>
            <w:r w:rsidR="00906D1D" w:rsidRPr="00906D1D">
              <w:rPr>
                <w:b w:val="0"/>
              </w:rPr>
              <w:t>Mbytes</w:t>
            </w:r>
            <w:r w:rsidR="00906D1D">
              <w:rPr>
                <w:b w:val="0"/>
              </w:rPr>
              <w:t xml:space="preserve"> packet size</w:t>
            </w:r>
          </w:p>
        </w:tc>
      </w:tr>
      <w:tr w:rsidR="00B709C5" w14:paraId="0DF2EED1"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6A3D4C" w14:textId="77777777" w:rsidR="00B709C5" w:rsidRDefault="00B709C5" w:rsidP="00CA5792">
            <w:pPr>
              <w:pStyle w:val="NormalsmallspacingBold"/>
            </w:pPr>
            <w:proofErr w:type="spellStart"/>
            <w:r>
              <w:rPr>
                <w:lang w:val="en-US"/>
              </w:rPr>
              <w:t>TRP</w:t>
            </w:r>
            <w:proofErr w:type="spellEnd"/>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88E161B" w14:textId="302FCC42" w:rsidR="00B709C5" w:rsidRDefault="00B709C5" w:rsidP="00CA5792">
            <w:pPr>
              <w:pStyle w:val="NormalsmallspacingBold"/>
              <w:rPr>
                <w:b w:val="0"/>
              </w:rPr>
            </w:pPr>
            <w:proofErr w:type="spellStart"/>
            <w:r>
              <w:rPr>
                <w:b w:val="0"/>
              </w:rPr>
              <w:t>RSRP</w:t>
            </w:r>
            <w:proofErr w:type="spellEnd"/>
            <w:r>
              <w:rPr>
                <w:b w:val="0"/>
              </w:rPr>
              <w:t xml:space="preserve"> based</w:t>
            </w:r>
            <w:r w:rsidR="000F0084">
              <w:rPr>
                <w:b w:val="0"/>
              </w:rPr>
              <w:t xml:space="preserve">, </w:t>
            </w:r>
            <w:r>
              <w:rPr>
                <w:b w:val="0"/>
              </w:rPr>
              <w:t>Handover margin = 0 dB</w:t>
            </w:r>
          </w:p>
        </w:tc>
      </w:tr>
      <w:tr w:rsidR="00B709C5" w14:paraId="4F6CE13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3F9971" w14:textId="77777777" w:rsidR="00B709C5" w:rsidRDefault="00B709C5" w:rsidP="00CA5792">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EEE2996" w14:textId="23070229" w:rsidR="00B709C5" w:rsidRDefault="00B709C5" w:rsidP="00CA5792">
            <w:pPr>
              <w:pStyle w:val="NormalsmallspacingBold"/>
              <w:rPr>
                <w:b w:val="0"/>
              </w:rPr>
            </w:pPr>
            <w:r>
              <w:rPr>
                <w:b w:val="0"/>
              </w:rPr>
              <w:t xml:space="preserve">MU-MIMO with </w:t>
            </w:r>
            <w:r w:rsidR="00906D1D">
              <w:rPr>
                <w:b w:val="0"/>
              </w:rPr>
              <w:t>8</w:t>
            </w:r>
            <w:r>
              <w:rPr>
                <w:b w:val="0"/>
              </w:rPr>
              <w:t xml:space="preserve"> BS layers maximum; </w:t>
            </w:r>
          </w:p>
          <w:p w14:paraId="11BE5FC6" w14:textId="64CEDF07" w:rsidR="00B709C5" w:rsidRDefault="00B709C5" w:rsidP="00273AFB">
            <w:pPr>
              <w:pStyle w:val="NormalsmallspacingBold"/>
              <w:rPr>
                <w:b w:val="0"/>
              </w:rPr>
            </w:pPr>
            <w:r>
              <w:rPr>
                <w:b w:val="0"/>
              </w:rPr>
              <w:t xml:space="preserve">Rank adaptation with max rank </w:t>
            </w:r>
            <w:r w:rsidR="00273AFB">
              <w:rPr>
                <w:b w:val="0"/>
              </w:rPr>
              <w:t>4</w:t>
            </w:r>
            <w:r>
              <w:rPr>
                <w:b w:val="0"/>
              </w:rPr>
              <w:t xml:space="preserve"> </w:t>
            </w:r>
          </w:p>
        </w:tc>
      </w:tr>
      <w:tr w:rsidR="00B709C5" w14:paraId="3B21E46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F088386" w14:textId="77777777" w:rsidR="00B709C5" w:rsidRDefault="00B709C5" w:rsidP="00CA5792">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4AA7A48" w14:textId="77777777" w:rsidR="00B709C5" w:rsidRDefault="00B709C5" w:rsidP="00CA5792">
            <w:pPr>
              <w:pStyle w:val="NormalsmallspacingBold"/>
              <w:rPr>
                <w:b w:val="0"/>
              </w:rPr>
            </w:pPr>
            <w:r>
              <w:rPr>
                <w:b w:val="0"/>
              </w:rPr>
              <w:t>Proportional Fair</w:t>
            </w:r>
          </w:p>
        </w:tc>
      </w:tr>
      <w:tr w:rsidR="00B709C5" w14:paraId="3425A1EE"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4387B4" w14:textId="77777777" w:rsidR="00B709C5" w:rsidRDefault="00B709C5" w:rsidP="00CA5792">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FB9C0C9" w14:textId="77777777" w:rsidR="00B709C5" w:rsidRDefault="00B709C5" w:rsidP="00CA5792">
            <w:pPr>
              <w:pStyle w:val="NormalsmallspacingBold"/>
              <w:rPr>
                <w:b w:val="0"/>
              </w:rPr>
            </w:pPr>
            <w:r>
              <w:rPr>
                <w:b w:val="0"/>
              </w:rPr>
              <w:t xml:space="preserve">10% </w:t>
            </w:r>
            <w:proofErr w:type="spellStart"/>
            <w:r>
              <w:rPr>
                <w:b w:val="0"/>
              </w:rPr>
              <w:t>BLER</w:t>
            </w:r>
            <w:proofErr w:type="spellEnd"/>
            <w:r>
              <w:rPr>
                <w:b w:val="0"/>
              </w:rPr>
              <w:t xml:space="preserve"> target</w:t>
            </w:r>
          </w:p>
        </w:tc>
      </w:tr>
      <w:tr w:rsidR="00B709C5" w14:paraId="0F71D9DB"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2C2092B" w14:textId="77777777" w:rsidR="00B709C5" w:rsidRDefault="00B709C5" w:rsidP="00CA5792">
            <w:pPr>
              <w:pStyle w:val="NormalsmallspacingBold"/>
            </w:pPr>
            <w:r>
              <w:t>MU-MIMO precoding</w:t>
            </w:r>
          </w:p>
        </w:tc>
        <w:tc>
          <w:tcPr>
            <w:tcW w:w="5180" w:type="dxa"/>
            <w:tcBorders>
              <w:top w:val="single" w:sz="4" w:space="0" w:color="000000"/>
              <w:left w:val="single" w:sz="4" w:space="0" w:color="000000"/>
              <w:bottom w:val="single" w:sz="4" w:space="0" w:color="000000"/>
              <w:right w:val="single" w:sz="4" w:space="0" w:color="000000"/>
            </w:tcBorders>
            <w:vAlign w:val="center"/>
          </w:tcPr>
          <w:p w14:paraId="08E68B12" w14:textId="77777777" w:rsidR="00B709C5" w:rsidRDefault="00B709C5" w:rsidP="00CA5792">
            <w:pPr>
              <w:pStyle w:val="NormalsmallspacingBold"/>
              <w:rPr>
                <w:b w:val="0"/>
              </w:rPr>
            </w:pPr>
            <w:proofErr w:type="spellStart"/>
            <w:r>
              <w:rPr>
                <w:b w:val="0"/>
              </w:rPr>
              <w:t>MMSE</w:t>
            </w:r>
            <w:proofErr w:type="spellEnd"/>
          </w:p>
        </w:tc>
      </w:tr>
      <w:tr w:rsidR="00B709C5" w14:paraId="25332678"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BF4F66" w14:textId="77777777" w:rsidR="00B709C5" w:rsidRDefault="00B709C5" w:rsidP="00CA5792">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F55AF4E" w14:textId="5D529DEA" w:rsidR="00B709C5" w:rsidRDefault="00B709C5" w:rsidP="00273AFB">
            <w:pPr>
              <w:pStyle w:val="NormalsmallspacingBold"/>
              <w:rPr>
                <w:b w:val="0"/>
              </w:rPr>
            </w:pPr>
            <w:r>
              <w:rPr>
                <w:b w:val="0"/>
              </w:rPr>
              <w:t xml:space="preserve">One vertical beam per </w:t>
            </w:r>
            <w:proofErr w:type="spellStart"/>
            <w:r>
              <w:rPr>
                <w:b w:val="0"/>
              </w:rPr>
              <w:t>TXRU</w:t>
            </w:r>
            <w:proofErr w:type="spellEnd"/>
            <w:r>
              <w:rPr>
                <w:b w:val="0"/>
              </w:rPr>
              <w:t xml:space="preserve"> electrically down-tilted to 100</w:t>
            </w:r>
            <w:r w:rsidR="00273AFB">
              <w:rPr>
                <w:b w:val="0"/>
              </w:rPr>
              <w:t>̊</w:t>
            </w:r>
          </w:p>
        </w:tc>
      </w:tr>
      <w:tr w:rsidR="00B709C5" w14:paraId="4005CE9F"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5788FC" w14:textId="77777777" w:rsidR="00B709C5" w:rsidRDefault="00B709C5" w:rsidP="00CA5792">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72EF8A6" w14:textId="77777777" w:rsidR="00B709C5" w:rsidRDefault="00B709C5" w:rsidP="00CA5792">
            <w:pPr>
              <w:pStyle w:val="NormalsmallspacingBold"/>
              <w:rPr>
                <w:b w:val="0"/>
              </w:rPr>
            </w:pPr>
            <w:proofErr w:type="spellStart"/>
            <w:r>
              <w:rPr>
                <w:b w:val="0"/>
              </w:rPr>
              <w:t>MMSE</w:t>
            </w:r>
            <w:proofErr w:type="spellEnd"/>
            <w:r>
              <w:rPr>
                <w:b w:val="0"/>
              </w:rPr>
              <w:t>-IRC</w:t>
            </w:r>
          </w:p>
        </w:tc>
      </w:tr>
      <w:tr w:rsidR="00B709C5" w14:paraId="77F384CA"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9D48D31" w14:textId="77777777" w:rsidR="00B709C5" w:rsidRDefault="00B709C5" w:rsidP="00CA5792">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A396C11" w14:textId="77777777" w:rsidR="00B709C5" w:rsidRDefault="00B709C5" w:rsidP="00CA5792">
            <w:pPr>
              <w:pStyle w:val="NormalsmallspacingBold"/>
              <w:rPr>
                <w:b w:val="0"/>
                <w:lang w:val="ru-RU"/>
              </w:rPr>
            </w:pPr>
            <w:r>
              <w:rPr>
                <w:b w:val="0"/>
              </w:rPr>
              <w:t>9 dB</w:t>
            </w:r>
          </w:p>
        </w:tc>
      </w:tr>
      <w:tr w:rsidR="00B709C5" w14:paraId="378C569A"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3A3790" w14:textId="77777777" w:rsidR="00B709C5" w:rsidRDefault="00B709C5" w:rsidP="00CA5792">
            <w:pPr>
              <w:pStyle w:val="NormalsmallspacingBold"/>
            </w:pPr>
            <w:r>
              <w:t xml:space="preserve">Max number of </w:t>
            </w:r>
            <w:proofErr w:type="spellStart"/>
            <w:r>
              <w:t>HARQ</w:t>
            </w:r>
            <w:proofErr w:type="spellEnd"/>
            <w:r>
              <w:t xml:space="preserve">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87264A8" w14:textId="77777777" w:rsidR="00B709C5" w:rsidRDefault="00B709C5" w:rsidP="00CA5792">
            <w:pPr>
              <w:pStyle w:val="NormalsmallspacingBold"/>
              <w:rPr>
                <w:b w:val="0"/>
              </w:rPr>
            </w:pPr>
            <w:r>
              <w:rPr>
                <w:b w:val="0"/>
              </w:rPr>
              <w:t>4</w:t>
            </w:r>
          </w:p>
        </w:tc>
      </w:tr>
    </w:tbl>
    <w:p w14:paraId="4B4BC952" w14:textId="22934548" w:rsidR="0008491E" w:rsidRDefault="0008491E">
      <w:pPr>
        <w:overflowPunct/>
        <w:autoSpaceDE/>
        <w:autoSpaceDN/>
        <w:adjustRightInd/>
        <w:spacing w:after="0"/>
        <w:textAlignment w:val="auto"/>
        <w:rPr>
          <w:sz w:val="22"/>
          <w:lang w:eastAsia="zh-CN"/>
        </w:rPr>
      </w:pPr>
    </w:p>
    <w:sectPr w:rsidR="0008491E"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59A13" w14:textId="77777777" w:rsidR="002E5222" w:rsidRDefault="002E5222">
      <w:r>
        <w:separator/>
      </w:r>
    </w:p>
  </w:endnote>
  <w:endnote w:type="continuationSeparator" w:id="0">
    <w:p w14:paraId="7152DA9C" w14:textId="77777777" w:rsidR="002E5222" w:rsidRDefault="002E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135F56" w:rsidRDefault="00135F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135F56" w:rsidRDefault="00135F5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135F56" w:rsidRDefault="00135F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70D8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0D8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3CEF4" w14:textId="77777777" w:rsidR="002E5222" w:rsidRDefault="002E5222">
      <w:r>
        <w:separator/>
      </w:r>
    </w:p>
  </w:footnote>
  <w:footnote w:type="continuationSeparator" w:id="0">
    <w:p w14:paraId="521E138D" w14:textId="77777777" w:rsidR="002E5222" w:rsidRDefault="002E5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135F56" w:rsidRDefault="00135F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AFB39FF"/>
    <w:multiLevelType w:val="hybridMultilevel"/>
    <w:tmpl w:val="E7E24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8" w15:restartNumberingAfterBreak="0">
    <w:nsid w:val="242F4BE3"/>
    <w:multiLevelType w:val="hybridMultilevel"/>
    <w:tmpl w:val="FA0E95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92268A"/>
    <w:multiLevelType w:val="hybridMultilevel"/>
    <w:tmpl w:val="2EC23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0019D5"/>
    <w:multiLevelType w:val="hybridMultilevel"/>
    <w:tmpl w:val="5E52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0862DD"/>
    <w:multiLevelType w:val="hybridMultilevel"/>
    <w:tmpl w:val="F8C8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F784B"/>
    <w:multiLevelType w:val="hybridMultilevel"/>
    <w:tmpl w:val="71BEF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9D7865"/>
    <w:multiLevelType w:val="hybridMultilevel"/>
    <w:tmpl w:val="17825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3438CE"/>
    <w:multiLevelType w:val="multilevel"/>
    <w:tmpl w:val="F83A5648"/>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BA7DA4"/>
    <w:multiLevelType w:val="hybridMultilevel"/>
    <w:tmpl w:val="7B2CADBA"/>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EB4E7D"/>
    <w:multiLevelType w:val="hybridMultilevel"/>
    <w:tmpl w:val="9BBE6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8D7892"/>
    <w:multiLevelType w:val="hybridMultilevel"/>
    <w:tmpl w:val="92287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5827FB"/>
    <w:multiLevelType w:val="hybridMultilevel"/>
    <w:tmpl w:val="87AC6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580774"/>
    <w:multiLevelType w:val="hybridMultilevel"/>
    <w:tmpl w:val="A0A4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2D05DE"/>
    <w:multiLevelType w:val="hybridMultilevel"/>
    <w:tmpl w:val="6C182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21"/>
  </w:num>
  <w:num w:numId="9">
    <w:abstractNumId w:val="1"/>
  </w:num>
  <w:num w:numId="10">
    <w:abstractNumId w:val="2"/>
  </w:num>
  <w:num w:numId="11">
    <w:abstractNumId w:val="9"/>
  </w:num>
  <w:num w:numId="12">
    <w:abstractNumId w:val="20"/>
  </w:num>
  <w:num w:numId="13">
    <w:abstractNumId w:val="22"/>
  </w:num>
  <w:num w:numId="14">
    <w:abstractNumId w:val="8"/>
  </w:num>
  <w:num w:numId="15">
    <w:abstractNumId w:val="27"/>
  </w:num>
  <w:num w:numId="16">
    <w:abstractNumId w:val="24"/>
  </w:num>
  <w:num w:numId="17">
    <w:abstractNumId w:val="16"/>
  </w:num>
  <w:num w:numId="18">
    <w:abstractNumId w:val="28"/>
  </w:num>
  <w:num w:numId="19">
    <w:abstractNumId w:val="23"/>
  </w:num>
  <w:num w:numId="20">
    <w:abstractNumId w:val="25"/>
  </w:num>
  <w:num w:numId="21">
    <w:abstractNumId w:val="17"/>
  </w:num>
  <w:num w:numId="22">
    <w:abstractNumId w:val="13"/>
  </w:num>
  <w:num w:numId="23">
    <w:abstractNumId w:val="18"/>
  </w:num>
  <w:num w:numId="24">
    <w:abstractNumId w:val="12"/>
  </w:num>
  <w:num w:numId="25">
    <w:abstractNumId w:val="14"/>
  </w:num>
  <w:num w:numId="26">
    <w:abstractNumId w:val="11"/>
  </w:num>
  <w:num w:numId="27">
    <w:abstractNumId w:val="26"/>
  </w:num>
  <w:num w:numId="28">
    <w:abstractNumId w:val="4"/>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3F"/>
    <w:rsid w:val="000054B8"/>
    <w:rsid w:val="0000553B"/>
    <w:rsid w:val="0000587E"/>
    <w:rsid w:val="00005B03"/>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6DCF"/>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B8"/>
    <w:rsid w:val="000228C4"/>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4EFA"/>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B7"/>
    <w:rsid w:val="00063485"/>
    <w:rsid w:val="00063734"/>
    <w:rsid w:val="00063E29"/>
    <w:rsid w:val="00063F57"/>
    <w:rsid w:val="0006436D"/>
    <w:rsid w:val="0006480B"/>
    <w:rsid w:val="00064A2B"/>
    <w:rsid w:val="00064D36"/>
    <w:rsid w:val="0006549C"/>
    <w:rsid w:val="00065761"/>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F3C"/>
    <w:rsid w:val="00082152"/>
    <w:rsid w:val="0008236E"/>
    <w:rsid w:val="000825BC"/>
    <w:rsid w:val="000826FF"/>
    <w:rsid w:val="00082A49"/>
    <w:rsid w:val="00082EF5"/>
    <w:rsid w:val="000831C1"/>
    <w:rsid w:val="00083322"/>
    <w:rsid w:val="00083391"/>
    <w:rsid w:val="00083788"/>
    <w:rsid w:val="000839CE"/>
    <w:rsid w:val="00083CD2"/>
    <w:rsid w:val="00083EBD"/>
    <w:rsid w:val="00084255"/>
    <w:rsid w:val="0008491E"/>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8FF"/>
    <w:rsid w:val="00087BAB"/>
    <w:rsid w:val="00087E29"/>
    <w:rsid w:val="00087F91"/>
    <w:rsid w:val="00090228"/>
    <w:rsid w:val="00090573"/>
    <w:rsid w:val="00090586"/>
    <w:rsid w:val="000908EE"/>
    <w:rsid w:val="00090B69"/>
    <w:rsid w:val="00091714"/>
    <w:rsid w:val="00091C08"/>
    <w:rsid w:val="000921E3"/>
    <w:rsid w:val="00092334"/>
    <w:rsid w:val="0009280A"/>
    <w:rsid w:val="000931C3"/>
    <w:rsid w:val="00093B23"/>
    <w:rsid w:val="00093EA6"/>
    <w:rsid w:val="0009437A"/>
    <w:rsid w:val="000947B7"/>
    <w:rsid w:val="00094CFE"/>
    <w:rsid w:val="00094FBC"/>
    <w:rsid w:val="00095127"/>
    <w:rsid w:val="00095671"/>
    <w:rsid w:val="00095920"/>
    <w:rsid w:val="00095F37"/>
    <w:rsid w:val="00095F53"/>
    <w:rsid w:val="0009612D"/>
    <w:rsid w:val="0009653B"/>
    <w:rsid w:val="000967BD"/>
    <w:rsid w:val="0009680E"/>
    <w:rsid w:val="000968D8"/>
    <w:rsid w:val="0009709B"/>
    <w:rsid w:val="000979F0"/>
    <w:rsid w:val="00097AE8"/>
    <w:rsid w:val="000A02DC"/>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60B9"/>
    <w:rsid w:val="000B65BE"/>
    <w:rsid w:val="000B6BDF"/>
    <w:rsid w:val="000B6D8D"/>
    <w:rsid w:val="000B7064"/>
    <w:rsid w:val="000B71B6"/>
    <w:rsid w:val="000B7387"/>
    <w:rsid w:val="000B751E"/>
    <w:rsid w:val="000B76BB"/>
    <w:rsid w:val="000B7D5E"/>
    <w:rsid w:val="000B7EAB"/>
    <w:rsid w:val="000C0294"/>
    <w:rsid w:val="000C0884"/>
    <w:rsid w:val="000C133A"/>
    <w:rsid w:val="000C143C"/>
    <w:rsid w:val="000C16DD"/>
    <w:rsid w:val="000C1DBD"/>
    <w:rsid w:val="000C1E9F"/>
    <w:rsid w:val="000C1F69"/>
    <w:rsid w:val="000C2557"/>
    <w:rsid w:val="000C2DE1"/>
    <w:rsid w:val="000C32C8"/>
    <w:rsid w:val="000C36F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C5"/>
    <w:rsid w:val="000E7535"/>
    <w:rsid w:val="000E7B10"/>
    <w:rsid w:val="000E7F51"/>
    <w:rsid w:val="000F0084"/>
    <w:rsid w:val="000F00D8"/>
    <w:rsid w:val="000F036B"/>
    <w:rsid w:val="000F04CE"/>
    <w:rsid w:val="000F06D8"/>
    <w:rsid w:val="000F095B"/>
    <w:rsid w:val="000F0E9B"/>
    <w:rsid w:val="000F1287"/>
    <w:rsid w:val="000F13C4"/>
    <w:rsid w:val="000F13D7"/>
    <w:rsid w:val="000F17E4"/>
    <w:rsid w:val="000F1B0F"/>
    <w:rsid w:val="000F1CF3"/>
    <w:rsid w:val="000F1D42"/>
    <w:rsid w:val="000F203A"/>
    <w:rsid w:val="000F20CD"/>
    <w:rsid w:val="000F21E3"/>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6EEC"/>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4D1"/>
    <w:rsid w:val="00107600"/>
    <w:rsid w:val="00107CA3"/>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18D"/>
    <w:rsid w:val="0012022B"/>
    <w:rsid w:val="001203DB"/>
    <w:rsid w:val="00120554"/>
    <w:rsid w:val="0012079F"/>
    <w:rsid w:val="001207F3"/>
    <w:rsid w:val="00120900"/>
    <w:rsid w:val="00120D0F"/>
    <w:rsid w:val="00120D2A"/>
    <w:rsid w:val="00121897"/>
    <w:rsid w:val="00121E20"/>
    <w:rsid w:val="00121FDE"/>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7CF"/>
    <w:rsid w:val="00133B9A"/>
    <w:rsid w:val="00133CA0"/>
    <w:rsid w:val="00133EBD"/>
    <w:rsid w:val="0013404A"/>
    <w:rsid w:val="0013436E"/>
    <w:rsid w:val="001345D5"/>
    <w:rsid w:val="001348C5"/>
    <w:rsid w:val="00134C39"/>
    <w:rsid w:val="00135015"/>
    <w:rsid w:val="00135095"/>
    <w:rsid w:val="001352A6"/>
    <w:rsid w:val="00135829"/>
    <w:rsid w:val="001358A0"/>
    <w:rsid w:val="001358A7"/>
    <w:rsid w:val="001358F4"/>
    <w:rsid w:val="00135924"/>
    <w:rsid w:val="00135F56"/>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DA9"/>
    <w:rsid w:val="00153EEF"/>
    <w:rsid w:val="00153F29"/>
    <w:rsid w:val="001544AB"/>
    <w:rsid w:val="00154769"/>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E3"/>
    <w:rsid w:val="001A2E33"/>
    <w:rsid w:val="001A2F4F"/>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8E2"/>
    <w:rsid w:val="001B3A62"/>
    <w:rsid w:val="001B3EEB"/>
    <w:rsid w:val="001B3FD9"/>
    <w:rsid w:val="001B40F6"/>
    <w:rsid w:val="001B4483"/>
    <w:rsid w:val="001B46A1"/>
    <w:rsid w:val="001B4ADA"/>
    <w:rsid w:val="001B4C6A"/>
    <w:rsid w:val="001B5332"/>
    <w:rsid w:val="001B5397"/>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264"/>
    <w:rsid w:val="001C3474"/>
    <w:rsid w:val="001C3657"/>
    <w:rsid w:val="001C38DA"/>
    <w:rsid w:val="001C3DC6"/>
    <w:rsid w:val="001C3EAD"/>
    <w:rsid w:val="001C3EAE"/>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8C9"/>
    <w:rsid w:val="001D2915"/>
    <w:rsid w:val="001D29DA"/>
    <w:rsid w:val="001D2B3C"/>
    <w:rsid w:val="001D2BB2"/>
    <w:rsid w:val="001D2E6C"/>
    <w:rsid w:val="001D2ECD"/>
    <w:rsid w:val="001D329E"/>
    <w:rsid w:val="001D32D0"/>
    <w:rsid w:val="001D34EC"/>
    <w:rsid w:val="001D3C68"/>
    <w:rsid w:val="001D427B"/>
    <w:rsid w:val="001D4315"/>
    <w:rsid w:val="001D43C0"/>
    <w:rsid w:val="001D452A"/>
    <w:rsid w:val="001D4969"/>
    <w:rsid w:val="001D4AF0"/>
    <w:rsid w:val="001D4F24"/>
    <w:rsid w:val="001D506F"/>
    <w:rsid w:val="001D562F"/>
    <w:rsid w:val="001D57BC"/>
    <w:rsid w:val="001D5990"/>
    <w:rsid w:val="001D5E31"/>
    <w:rsid w:val="001D60A8"/>
    <w:rsid w:val="001D6433"/>
    <w:rsid w:val="001D6497"/>
    <w:rsid w:val="001D66A4"/>
    <w:rsid w:val="001D670A"/>
    <w:rsid w:val="001D6E61"/>
    <w:rsid w:val="001D6F30"/>
    <w:rsid w:val="001D7260"/>
    <w:rsid w:val="001D774B"/>
    <w:rsid w:val="001D7816"/>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89C"/>
    <w:rsid w:val="001F697C"/>
    <w:rsid w:val="001F6E45"/>
    <w:rsid w:val="001F7317"/>
    <w:rsid w:val="001F76DF"/>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E92"/>
    <w:rsid w:val="002211DD"/>
    <w:rsid w:val="0022135D"/>
    <w:rsid w:val="002215D9"/>
    <w:rsid w:val="0022172A"/>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F76"/>
    <w:rsid w:val="0024103F"/>
    <w:rsid w:val="00241082"/>
    <w:rsid w:val="00241358"/>
    <w:rsid w:val="00241C7B"/>
    <w:rsid w:val="002421F2"/>
    <w:rsid w:val="0024224E"/>
    <w:rsid w:val="00242B2A"/>
    <w:rsid w:val="00242CAE"/>
    <w:rsid w:val="00243703"/>
    <w:rsid w:val="00243852"/>
    <w:rsid w:val="00243ACD"/>
    <w:rsid w:val="00243B81"/>
    <w:rsid w:val="00243DCC"/>
    <w:rsid w:val="002443C2"/>
    <w:rsid w:val="002444E3"/>
    <w:rsid w:val="00244606"/>
    <w:rsid w:val="00244924"/>
    <w:rsid w:val="00244C16"/>
    <w:rsid w:val="00244F99"/>
    <w:rsid w:val="00245492"/>
    <w:rsid w:val="00245493"/>
    <w:rsid w:val="00245A41"/>
    <w:rsid w:val="00245ACB"/>
    <w:rsid w:val="00245B70"/>
    <w:rsid w:val="00245BED"/>
    <w:rsid w:val="00245D7D"/>
    <w:rsid w:val="00245E39"/>
    <w:rsid w:val="00245FBA"/>
    <w:rsid w:val="00246C52"/>
    <w:rsid w:val="00246EB6"/>
    <w:rsid w:val="002471AB"/>
    <w:rsid w:val="0024785A"/>
    <w:rsid w:val="00247B6E"/>
    <w:rsid w:val="00247C82"/>
    <w:rsid w:val="00247D8E"/>
    <w:rsid w:val="00247DD1"/>
    <w:rsid w:val="00247E6A"/>
    <w:rsid w:val="002506F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868"/>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AFB"/>
    <w:rsid w:val="00273B2D"/>
    <w:rsid w:val="00273C94"/>
    <w:rsid w:val="00273CC9"/>
    <w:rsid w:val="00273CFB"/>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6D5"/>
    <w:rsid w:val="002817B4"/>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5B2"/>
    <w:rsid w:val="00293C26"/>
    <w:rsid w:val="002943A4"/>
    <w:rsid w:val="002944CA"/>
    <w:rsid w:val="00294722"/>
    <w:rsid w:val="0029491A"/>
    <w:rsid w:val="00294A7B"/>
    <w:rsid w:val="00294AB1"/>
    <w:rsid w:val="00294FB4"/>
    <w:rsid w:val="0029512F"/>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21D6"/>
    <w:rsid w:val="002B2C92"/>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57A"/>
    <w:rsid w:val="002B6890"/>
    <w:rsid w:val="002B694E"/>
    <w:rsid w:val="002B69F6"/>
    <w:rsid w:val="002B71EC"/>
    <w:rsid w:val="002B726C"/>
    <w:rsid w:val="002B76B9"/>
    <w:rsid w:val="002B76FF"/>
    <w:rsid w:val="002C020D"/>
    <w:rsid w:val="002C0486"/>
    <w:rsid w:val="002C04C2"/>
    <w:rsid w:val="002C0818"/>
    <w:rsid w:val="002C089E"/>
    <w:rsid w:val="002C0AF3"/>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B4E"/>
    <w:rsid w:val="002D2FCA"/>
    <w:rsid w:val="002D35C8"/>
    <w:rsid w:val="002D3968"/>
    <w:rsid w:val="002D425A"/>
    <w:rsid w:val="002D4322"/>
    <w:rsid w:val="002D4A54"/>
    <w:rsid w:val="002D4C64"/>
    <w:rsid w:val="002D4E37"/>
    <w:rsid w:val="002D52E0"/>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3BA"/>
    <w:rsid w:val="002E4AF5"/>
    <w:rsid w:val="002E4DC0"/>
    <w:rsid w:val="002E4F8C"/>
    <w:rsid w:val="002E5222"/>
    <w:rsid w:val="002E5290"/>
    <w:rsid w:val="002E58E1"/>
    <w:rsid w:val="002E5BDD"/>
    <w:rsid w:val="002E5C56"/>
    <w:rsid w:val="002E5CD6"/>
    <w:rsid w:val="002E633A"/>
    <w:rsid w:val="002E679D"/>
    <w:rsid w:val="002E6994"/>
    <w:rsid w:val="002E6A45"/>
    <w:rsid w:val="002E7321"/>
    <w:rsid w:val="002E7894"/>
    <w:rsid w:val="002E7ACB"/>
    <w:rsid w:val="002E7BAD"/>
    <w:rsid w:val="002E7FA9"/>
    <w:rsid w:val="002F0045"/>
    <w:rsid w:val="002F00F0"/>
    <w:rsid w:val="002F025B"/>
    <w:rsid w:val="002F0684"/>
    <w:rsid w:val="002F0687"/>
    <w:rsid w:val="002F0ADB"/>
    <w:rsid w:val="002F1246"/>
    <w:rsid w:val="002F1944"/>
    <w:rsid w:val="002F1B45"/>
    <w:rsid w:val="002F22A7"/>
    <w:rsid w:val="002F28CF"/>
    <w:rsid w:val="002F2AE0"/>
    <w:rsid w:val="002F3DEF"/>
    <w:rsid w:val="002F3F16"/>
    <w:rsid w:val="002F413F"/>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342"/>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856"/>
    <w:rsid w:val="00311941"/>
    <w:rsid w:val="00311AFC"/>
    <w:rsid w:val="003121B8"/>
    <w:rsid w:val="00313452"/>
    <w:rsid w:val="003136A0"/>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884"/>
    <w:rsid w:val="0031794B"/>
    <w:rsid w:val="00317B1B"/>
    <w:rsid w:val="00317D7A"/>
    <w:rsid w:val="003200D5"/>
    <w:rsid w:val="00320B0D"/>
    <w:rsid w:val="00320B1B"/>
    <w:rsid w:val="00320C4D"/>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83B"/>
    <w:rsid w:val="0033392F"/>
    <w:rsid w:val="00333A4C"/>
    <w:rsid w:val="00333CCF"/>
    <w:rsid w:val="00334737"/>
    <w:rsid w:val="00334F3E"/>
    <w:rsid w:val="00335250"/>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291"/>
    <w:rsid w:val="003444ED"/>
    <w:rsid w:val="00344725"/>
    <w:rsid w:val="00344898"/>
    <w:rsid w:val="00344C47"/>
    <w:rsid w:val="0034511B"/>
    <w:rsid w:val="00346A70"/>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2FA"/>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4FD"/>
    <w:rsid w:val="003D19ED"/>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64"/>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A9A"/>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30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95"/>
    <w:rsid w:val="00405F90"/>
    <w:rsid w:val="00405FCD"/>
    <w:rsid w:val="00406108"/>
    <w:rsid w:val="00406412"/>
    <w:rsid w:val="0040669E"/>
    <w:rsid w:val="00406770"/>
    <w:rsid w:val="00406F4B"/>
    <w:rsid w:val="00406FBD"/>
    <w:rsid w:val="004073B0"/>
    <w:rsid w:val="00407612"/>
    <w:rsid w:val="00407A66"/>
    <w:rsid w:val="00407C9E"/>
    <w:rsid w:val="00410204"/>
    <w:rsid w:val="0041029D"/>
    <w:rsid w:val="00410436"/>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756"/>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EA5"/>
    <w:rsid w:val="00441311"/>
    <w:rsid w:val="0044131C"/>
    <w:rsid w:val="0044142F"/>
    <w:rsid w:val="00441E09"/>
    <w:rsid w:val="004420FE"/>
    <w:rsid w:val="004425C2"/>
    <w:rsid w:val="00442824"/>
    <w:rsid w:val="0044288A"/>
    <w:rsid w:val="00442FFB"/>
    <w:rsid w:val="004430FD"/>
    <w:rsid w:val="004431FE"/>
    <w:rsid w:val="004433C2"/>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0BE"/>
    <w:rsid w:val="004772D8"/>
    <w:rsid w:val="004774C5"/>
    <w:rsid w:val="004775ED"/>
    <w:rsid w:val="004777C7"/>
    <w:rsid w:val="004802F4"/>
    <w:rsid w:val="004803A9"/>
    <w:rsid w:val="004807D5"/>
    <w:rsid w:val="0048082F"/>
    <w:rsid w:val="004808B5"/>
    <w:rsid w:val="00480B03"/>
    <w:rsid w:val="004810EC"/>
    <w:rsid w:val="00481423"/>
    <w:rsid w:val="0048148F"/>
    <w:rsid w:val="004814F6"/>
    <w:rsid w:val="00481607"/>
    <w:rsid w:val="00481655"/>
    <w:rsid w:val="00481ED4"/>
    <w:rsid w:val="00482358"/>
    <w:rsid w:val="00482389"/>
    <w:rsid w:val="00482849"/>
    <w:rsid w:val="00482943"/>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AF5"/>
    <w:rsid w:val="00490E94"/>
    <w:rsid w:val="00490EE3"/>
    <w:rsid w:val="00490F01"/>
    <w:rsid w:val="00490F67"/>
    <w:rsid w:val="0049143D"/>
    <w:rsid w:val="00491728"/>
    <w:rsid w:val="004918A0"/>
    <w:rsid w:val="00491E3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69E"/>
    <w:rsid w:val="004B18C8"/>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204"/>
    <w:rsid w:val="004C0346"/>
    <w:rsid w:val="004C03CC"/>
    <w:rsid w:val="004C0B5B"/>
    <w:rsid w:val="004C0F99"/>
    <w:rsid w:val="004C11CB"/>
    <w:rsid w:val="004C130D"/>
    <w:rsid w:val="004C132B"/>
    <w:rsid w:val="004C1599"/>
    <w:rsid w:val="004C1624"/>
    <w:rsid w:val="004C2371"/>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3"/>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92C"/>
    <w:rsid w:val="004C7BDF"/>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CAE"/>
    <w:rsid w:val="004D4003"/>
    <w:rsid w:val="004D44B1"/>
    <w:rsid w:val="004D47C9"/>
    <w:rsid w:val="004D4968"/>
    <w:rsid w:val="004D4977"/>
    <w:rsid w:val="004D4A8A"/>
    <w:rsid w:val="004D4BEA"/>
    <w:rsid w:val="004D50CC"/>
    <w:rsid w:val="004D5651"/>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7DC"/>
    <w:rsid w:val="004E2A75"/>
    <w:rsid w:val="004E2C41"/>
    <w:rsid w:val="004E2DF8"/>
    <w:rsid w:val="004E2E33"/>
    <w:rsid w:val="004E2F19"/>
    <w:rsid w:val="004E2F51"/>
    <w:rsid w:val="004E2F60"/>
    <w:rsid w:val="004E319A"/>
    <w:rsid w:val="004E32FE"/>
    <w:rsid w:val="004E3490"/>
    <w:rsid w:val="004E3579"/>
    <w:rsid w:val="004E3892"/>
    <w:rsid w:val="004E3FD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F32"/>
    <w:rsid w:val="0052422C"/>
    <w:rsid w:val="00524458"/>
    <w:rsid w:val="005244D5"/>
    <w:rsid w:val="005245A9"/>
    <w:rsid w:val="005248C4"/>
    <w:rsid w:val="00524AD1"/>
    <w:rsid w:val="00524D2A"/>
    <w:rsid w:val="00524DBE"/>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676"/>
    <w:rsid w:val="005417A0"/>
    <w:rsid w:val="0054199D"/>
    <w:rsid w:val="00541E2B"/>
    <w:rsid w:val="005421CF"/>
    <w:rsid w:val="005424B2"/>
    <w:rsid w:val="00542F16"/>
    <w:rsid w:val="00543639"/>
    <w:rsid w:val="005436D7"/>
    <w:rsid w:val="00543703"/>
    <w:rsid w:val="00543A66"/>
    <w:rsid w:val="00543A83"/>
    <w:rsid w:val="00543A8B"/>
    <w:rsid w:val="0054418D"/>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1D1"/>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8D5"/>
    <w:rsid w:val="00560955"/>
    <w:rsid w:val="00560AC9"/>
    <w:rsid w:val="00560DDA"/>
    <w:rsid w:val="00560F9A"/>
    <w:rsid w:val="00561250"/>
    <w:rsid w:val="0056134D"/>
    <w:rsid w:val="005617E8"/>
    <w:rsid w:val="00561932"/>
    <w:rsid w:val="00561A95"/>
    <w:rsid w:val="00561BF6"/>
    <w:rsid w:val="00561E4A"/>
    <w:rsid w:val="005624FA"/>
    <w:rsid w:val="005625FE"/>
    <w:rsid w:val="00562CDC"/>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F19"/>
    <w:rsid w:val="00594131"/>
    <w:rsid w:val="005941F3"/>
    <w:rsid w:val="005943C6"/>
    <w:rsid w:val="0059441D"/>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DA6"/>
    <w:rsid w:val="005A7F72"/>
    <w:rsid w:val="005B00F1"/>
    <w:rsid w:val="005B0460"/>
    <w:rsid w:val="005B0604"/>
    <w:rsid w:val="005B0C2C"/>
    <w:rsid w:val="005B0D3E"/>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A65"/>
    <w:rsid w:val="005C3CDF"/>
    <w:rsid w:val="005C4ADD"/>
    <w:rsid w:val="005C4B4D"/>
    <w:rsid w:val="005C4DE3"/>
    <w:rsid w:val="005C5379"/>
    <w:rsid w:val="005C5455"/>
    <w:rsid w:val="005C56B4"/>
    <w:rsid w:val="005C5849"/>
    <w:rsid w:val="005C5C74"/>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F80"/>
    <w:rsid w:val="005E4FBD"/>
    <w:rsid w:val="005E4FDB"/>
    <w:rsid w:val="005E5009"/>
    <w:rsid w:val="005E5518"/>
    <w:rsid w:val="005E5563"/>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7F"/>
    <w:rsid w:val="005F3FC6"/>
    <w:rsid w:val="005F401B"/>
    <w:rsid w:val="005F40E5"/>
    <w:rsid w:val="005F42BA"/>
    <w:rsid w:val="005F4364"/>
    <w:rsid w:val="005F46D9"/>
    <w:rsid w:val="005F4916"/>
    <w:rsid w:val="005F4950"/>
    <w:rsid w:val="005F509E"/>
    <w:rsid w:val="005F51DA"/>
    <w:rsid w:val="005F5239"/>
    <w:rsid w:val="005F54B0"/>
    <w:rsid w:val="005F660A"/>
    <w:rsid w:val="005F6697"/>
    <w:rsid w:val="005F6C11"/>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24D"/>
    <w:rsid w:val="00602354"/>
    <w:rsid w:val="0060254B"/>
    <w:rsid w:val="0060268D"/>
    <w:rsid w:val="006026F1"/>
    <w:rsid w:val="006026F7"/>
    <w:rsid w:val="0060316B"/>
    <w:rsid w:val="0060318C"/>
    <w:rsid w:val="006032D6"/>
    <w:rsid w:val="00603648"/>
    <w:rsid w:val="006039C5"/>
    <w:rsid w:val="00603AD1"/>
    <w:rsid w:val="00603B1B"/>
    <w:rsid w:val="00604148"/>
    <w:rsid w:val="006043D7"/>
    <w:rsid w:val="00604594"/>
    <w:rsid w:val="00604708"/>
    <w:rsid w:val="0060482F"/>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0EB"/>
    <w:rsid w:val="006101AC"/>
    <w:rsid w:val="006102C6"/>
    <w:rsid w:val="006103F0"/>
    <w:rsid w:val="0061047C"/>
    <w:rsid w:val="00610848"/>
    <w:rsid w:val="00611034"/>
    <w:rsid w:val="006113A9"/>
    <w:rsid w:val="00611D49"/>
    <w:rsid w:val="00611E26"/>
    <w:rsid w:val="00611F39"/>
    <w:rsid w:val="006120CB"/>
    <w:rsid w:val="006126E9"/>
    <w:rsid w:val="006128B4"/>
    <w:rsid w:val="00612C73"/>
    <w:rsid w:val="00612D12"/>
    <w:rsid w:val="00613036"/>
    <w:rsid w:val="006134CE"/>
    <w:rsid w:val="006136A4"/>
    <w:rsid w:val="006138D8"/>
    <w:rsid w:val="00613B4A"/>
    <w:rsid w:val="00614064"/>
    <w:rsid w:val="006141D8"/>
    <w:rsid w:val="00614263"/>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913"/>
    <w:rsid w:val="00622BDB"/>
    <w:rsid w:val="006233DF"/>
    <w:rsid w:val="00623427"/>
    <w:rsid w:val="00623AD1"/>
    <w:rsid w:val="00623EF3"/>
    <w:rsid w:val="0062424C"/>
    <w:rsid w:val="0062427E"/>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72C0"/>
    <w:rsid w:val="006373C7"/>
    <w:rsid w:val="0063745E"/>
    <w:rsid w:val="006374F0"/>
    <w:rsid w:val="006376E2"/>
    <w:rsid w:val="00637C24"/>
    <w:rsid w:val="00637E00"/>
    <w:rsid w:val="00637F57"/>
    <w:rsid w:val="006401C6"/>
    <w:rsid w:val="00640207"/>
    <w:rsid w:val="00640222"/>
    <w:rsid w:val="00640529"/>
    <w:rsid w:val="00640536"/>
    <w:rsid w:val="006409F3"/>
    <w:rsid w:val="00640B73"/>
    <w:rsid w:val="00640DB1"/>
    <w:rsid w:val="00641061"/>
    <w:rsid w:val="006419E1"/>
    <w:rsid w:val="006419ED"/>
    <w:rsid w:val="0064240B"/>
    <w:rsid w:val="006426BE"/>
    <w:rsid w:val="00642D10"/>
    <w:rsid w:val="00643668"/>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90"/>
    <w:rsid w:val="006473FF"/>
    <w:rsid w:val="006474E5"/>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FA"/>
    <w:rsid w:val="006677FF"/>
    <w:rsid w:val="00667A27"/>
    <w:rsid w:val="00667F81"/>
    <w:rsid w:val="006704BF"/>
    <w:rsid w:val="006708EC"/>
    <w:rsid w:val="00670AD6"/>
    <w:rsid w:val="00670B5C"/>
    <w:rsid w:val="00670D8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8725C"/>
    <w:rsid w:val="00690078"/>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3CA"/>
    <w:rsid w:val="006C75C9"/>
    <w:rsid w:val="006D0233"/>
    <w:rsid w:val="006D03CD"/>
    <w:rsid w:val="006D0A70"/>
    <w:rsid w:val="006D0AD9"/>
    <w:rsid w:val="006D0DED"/>
    <w:rsid w:val="006D0FC9"/>
    <w:rsid w:val="006D1277"/>
    <w:rsid w:val="006D164F"/>
    <w:rsid w:val="006D19ED"/>
    <w:rsid w:val="006D1A23"/>
    <w:rsid w:val="006D1EE3"/>
    <w:rsid w:val="006D1F1A"/>
    <w:rsid w:val="006D21FF"/>
    <w:rsid w:val="006D2440"/>
    <w:rsid w:val="006D247B"/>
    <w:rsid w:val="006D2627"/>
    <w:rsid w:val="006D267C"/>
    <w:rsid w:val="006D31AF"/>
    <w:rsid w:val="006D31DD"/>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F6"/>
    <w:rsid w:val="007036E5"/>
    <w:rsid w:val="007038D5"/>
    <w:rsid w:val="00703E01"/>
    <w:rsid w:val="0070423D"/>
    <w:rsid w:val="00704439"/>
    <w:rsid w:val="00704600"/>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B6D"/>
    <w:rsid w:val="00714C2E"/>
    <w:rsid w:val="00714D6A"/>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C65"/>
    <w:rsid w:val="00725CB6"/>
    <w:rsid w:val="00725D75"/>
    <w:rsid w:val="0072602E"/>
    <w:rsid w:val="00726281"/>
    <w:rsid w:val="0072665F"/>
    <w:rsid w:val="00726661"/>
    <w:rsid w:val="00727E9F"/>
    <w:rsid w:val="00727EBC"/>
    <w:rsid w:val="00730302"/>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15C8"/>
    <w:rsid w:val="007517D1"/>
    <w:rsid w:val="0075197E"/>
    <w:rsid w:val="00751F76"/>
    <w:rsid w:val="00752497"/>
    <w:rsid w:val="007525C0"/>
    <w:rsid w:val="007526B0"/>
    <w:rsid w:val="0075288B"/>
    <w:rsid w:val="00752DE9"/>
    <w:rsid w:val="00752FA4"/>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1F2C"/>
    <w:rsid w:val="0076200C"/>
    <w:rsid w:val="007624B0"/>
    <w:rsid w:val="007624B9"/>
    <w:rsid w:val="007625ED"/>
    <w:rsid w:val="00762924"/>
    <w:rsid w:val="0076295C"/>
    <w:rsid w:val="00762E4E"/>
    <w:rsid w:val="00763055"/>
    <w:rsid w:val="00763272"/>
    <w:rsid w:val="0076357A"/>
    <w:rsid w:val="0076375B"/>
    <w:rsid w:val="00763D32"/>
    <w:rsid w:val="00764140"/>
    <w:rsid w:val="00764340"/>
    <w:rsid w:val="0076442F"/>
    <w:rsid w:val="0076492D"/>
    <w:rsid w:val="00764E4E"/>
    <w:rsid w:val="00764EB8"/>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70CEE"/>
    <w:rsid w:val="00770FBC"/>
    <w:rsid w:val="007711E4"/>
    <w:rsid w:val="007718CC"/>
    <w:rsid w:val="007719DC"/>
    <w:rsid w:val="007721AD"/>
    <w:rsid w:val="00772C97"/>
    <w:rsid w:val="00772D15"/>
    <w:rsid w:val="00772DC3"/>
    <w:rsid w:val="00772E92"/>
    <w:rsid w:val="007733C4"/>
    <w:rsid w:val="007743A1"/>
    <w:rsid w:val="007744EF"/>
    <w:rsid w:val="0077483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88"/>
    <w:rsid w:val="007A5996"/>
    <w:rsid w:val="007A5CE4"/>
    <w:rsid w:val="007A618D"/>
    <w:rsid w:val="007A6221"/>
    <w:rsid w:val="007A6333"/>
    <w:rsid w:val="007A6477"/>
    <w:rsid w:val="007A6909"/>
    <w:rsid w:val="007A6DE7"/>
    <w:rsid w:val="007A75A3"/>
    <w:rsid w:val="007A7C63"/>
    <w:rsid w:val="007A7D3E"/>
    <w:rsid w:val="007A7D61"/>
    <w:rsid w:val="007A7EF5"/>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3EE1"/>
    <w:rsid w:val="007B40AD"/>
    <w:rsid w:val="007B448A"/>
    <w:rsid w:val="007B44DC"/>
    <w:rsid w:val="007B4533"/>
    <w:rsid w:val="007B4543"/>
    <w:rsid w:val="007B47DB"/>
    <w:rsid w:val="007B484D"/>
    <w:rsid w:val="007B4937"/>
    <w:rsid w:val="007B5A66"/>
    <w:rsid w:val="007B5CDE"/>
    <w:rsid w:val="007B5DEB"/>
    <w:rsid w:val="007B5E5F"/>
    <w:rsid w:val="007B5FF1"/>
    <w:rsid w:val="007B630D"/>
    <w:rsid w:val="007B697F"/>
    <w:rsid w:val="007B6A11"/>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D88"/>
    <w:rsid w:val="007C3DE5"/>
    <w:rsid w:val="007C3EFC"/>
    <w:rsid w:val="007C3F14"/>
    <w:rsid w:val="007C438F"/>
    <w:rsid w:val="007C4485"/>
    <w:rsid w:val="007C49C4"/>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0E7F"/>
    <w:rsid w:val="007F14D7"/>
    <w:rsid w:val="007F18C0"/>
    <w:rsid w:val="007F1E6C"/>
    <w:rsid w:val="007F1F12"/>
    <w:rsid w:val="007F22A5"/>
    <w:rsid w:val="007F2DBB"/>
    <w:rsid w:val="007F2ED4"/>
    <w:rsid w:val="007F360A"/>
    <w:rsid w:val="007F3925"/>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1AD"/>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E1A"/>
    <w:rsid w:val="00815F85"/>
    <w:rsid w:val="00816264"/>
    <w:rsid w:val="00816325"/>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7015"/>
    <w:rsid w:val="00827109"/>
    <w:rsid w:val="00827373"/>
    <w:rsid w:val="00827648"/>
    <w:rsid w:val="00827A41"/>
    <w:rsid w:val="00827AF3"/>
    <w:rsid w:val="00827B00"/>
    <w:rsid w:val="00827CBB"/>
    <w:rsid w:val="0083056F"/>
    <w:rsid w:val="008306B6"/>
    <w:rsid w:val="00830F16"/>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FFC"/>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29A"/>
    <w:rsid w:val="0085130C"/>
    <w:rsid w:val="008519A8"/>
    <w:rsid w:val="00851A00"/>
    <w:rsid w:val="00851B22"/>
    <w:rsid w:val="008521C5"/>
    <w:rsid w:val="00852338"/>
    <w:rsid w:val="00852C5D"/>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820"/>
    <w:rsid w:val="00855915"/>
    <w:rsid w:val="00855A3E"/>
    <w:rsid w:val="00856301"/>
    <w:rsid w:val="0085640E"/>
    <w:rsid w:val="00856562"/>
    <w:rsid w:val="008566E7"/>
    <w:rsid w:val="008569DF"/>
    <w:rsid w:val="00856ACF"/>
    <w:rsid w:val="00856E4A"/>
    <w:rsid w:val="00856FF3"/>
    <w:rsid w:val="00857055"/>
    <w:rsid w:val="0085722A"/>
    <w:rsid w:val="00857381"/>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42D9"/>
    <w:rsid w:val="00864578"/>
    <w:rsid w:val="008646B5"/>
    <w:rsid w:val="00864A9F"/>
    <w:rsid w:val="008650AB"/>
    <w:rsid w:val="008653BB"/>
    <w:rsid w:val="00865503"/>
    <w:rsid w:val="00865696"/>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D5F"/>
    <w:rsid w:val="00874E33"/>
    <w:rsid w:val="00874F9B"/>
    <w:rsid w:val="00874FAC"/>
    <w:rsid w:val="0087504C"/>
    <w:rsid w:val="00875905"/>
    <w:rsid w:val="00875A38"/>
    <w:rsid w:val="00875CD1"/>
    <w:rsid w:val="00875E7F"/>
    <w:rsid w:val="00875F79"/>
    <w:rsid w:val="00875FBD"/>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B1B"/>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B2D"/>
    <w:rsid w:val="00897EFC"/>
    <w:rsid w:val="008A00B7"/>
    <w:rsid w:val="008A0173"/>
    <w:rsid w:val="008A0265"/>
    <w:rsid w:val="008A0339"/>
    <w:rsid w:val="008A03A0"/>
    <w:rsid w:val="008A0473"/>
    <w:rsid w:val="008A04C7"/>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5BE"/>
    <w:rsid w:val="008B097E"/>
    <w:rsid w:val="008B0A66"/>
    <w:rsid w:val="008B0B3E"/>
    <w:rsid w:val="008B0C49"/>
    <w:rsid w:val="008B0CD0"/>
    <w:rsid w:val="008B0E6F"/>
    <w:rsid w:val="008B0FE8"/>
    <w:rsid w:val="008B1296"/>
    <w:rsid w:val="008B130E"/>
    <w:rsid w:val="008B13F7"/>
    <w:rsid w:val="008B14E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CA1"/>
    <w:rsid w:val="008C0FB9"/>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B47"/>
    <w:rsid w:val="008C4FE4"/>
    <w:rsid w:val="008C52F5"/>
    <w:rsid w:val="008C550E"/>
    <w:rsid w:val="008C57B5"/>
    <w:rsid w:val="008C59BD"/>
    <w:rsid w:val="008C59D5"/>
    <w:rsid w:val="008C5B10"/>
    <w:rsid w:val="008C5D81"/>
    <w:rsid w:val="008C69E0"/>
    <w:rsid w:val="008C69E1"/>
    <w:rsid w:val="008C6C7A"/>
    <w:rsid w:val="008C6DB7"/>
    <w:rsid w:val="008C6F3C"/>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52F"/>
    <w:rsid w:val="008D3848"/>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14D"/>
    <w:rsid w:val="009045C7"/>
    <w:rsid w:val="0090480E"/>
    <w:rsid w:val="00904A52"/>
    <w:rsid w:val="00904A62"/>
    <w:rsid w:val="00904B6D"/>
    <w:rsid w:val="00904E1D"/>
    <w:rsid w:val="009054E7"/>
    <w:rsid w:val="00905A06"/>
    <w:rsid w:val="00905E2D"/>
    <w:rsid w:val="0090604B"/>
    <w:rsid w:val="00906100"/>
    <w:rsid w:val="009067B8"/>
    <w:rsid w:val="00906AFF"/>
    <w:rsid w:val="00906D1D"/>
    <w:rsid w:val="00906DF9"/>
    <w:rsid w:val="00906EED"/>
    <w:rsid w:val="00907071"/>
    <w:rsid w:val="0090715C"/>
    <w:rsid w:val="00910178"/>
    <w:rsid w:val="00910416"/>
    <w:rsid w:val="009108A7"/>
    <w:rsid w:val="00910ED6"/>
    <w:rsid w:val="00911746"/>
    <w:rsid w:val="009119A0"/>
    <w:rsid w:val="00911E1A"/>
    <w:rsid w:val="00911EDA"/>
    <w:rsid w:val="009120EC"/>
    <w:rsid w:val="009123B9"/>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B75"/>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6F4"/>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328"/>
    <w:rsid w:val="009475DA"/>
    <w:rsid w:val="009477BE"/>
    <w:rsid w:val="00947A30"/>
    <w:rsid w:val="00950033"/>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917"/>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603AB"/>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956"/>
    <w:rsid w:val="009869B6"/>
    <w:rsid w:val="00986BDF"/>
    <w:rsid w:val="00987210"/>
    <w:rsid w:val="009876A0"/>
    <w:rsid w:val="009879B5"/>
    <w:rsid w:val="009879F4"/>
    <w:rsid w:val="00987CEC"/>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9EE"/>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4B45"/>
    <w:rsid w:val="009C520B"/>
    <w:rsid w:val="009C524B"/>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D5"/>
    <w:rsid w:val="009D69E5"/>
    <w:rsid w:val="009D6B8A"/>
    <w:rsid w:val="009D75A4"/>
    <w:rsid w:val="009E02CF"/>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E6A"/>
    <w:rsid w:val="00A05FF8"/>
    <w:rsid w:val="00A06274"/>
    <w:rsid w:val="00A064CA"/>
    <w:rsid w:val="00A06F57"/>
    <w:rsid w:val="00A07035"/>
    <w:rsid w:val="00A07443"/>
    <w:rsid w:val="00A07654"/>
    <w:rsid w:val="00A07730"/>
    <w:rsid w:val="00A07B16"/>
    <w:rsid w:val="00A07CA2"/>
    <w:rsid w:val="00A07EA6"/>
    <w:rsid w:val="00A103A3"/>
    <w:rsid w:val="00A105DB"/>
    <w:rsid w:val="00A106FD"/>
    <w:rsid w:val="00A106FE"/>
    <w:rsid w:val="00A10764"/>
    <w:rsid w:val="00A107B9"/>
    <w:rsid w:val="00A10AC3"/>
    <w:rsid w:val="00A10B48"/>
    <w:rsid w:val="00A10CB4"/>
    <w:rsid w:val="00A110F2"/>
    <w:rsid w:val="00A114B5"/>
    <w:rsid w:val="00A115BF"/>
    <w:rsid w:val="00A11ACA"/>
    <w:rsid w:val="00A11AE2"/>
    <w:rsid w:val="00A11E0F"/>
    <w:rsid w:val="00A121EA"/>
    <w:rsid w:val="00A12206"/>
    <w:rsid w:val="00A1229B"/>
    <w:rsid w:val="00A12301"/>
    <w:rsid w:val="00A12507"/>
    <w:rsid w:val="00A1260C"/>
    <w:rsid w:val="00A1278D"/>
    <w:rsid w:val="00A1288C"/>
    <w:rsid w:val="00A129B6"/>
    <w:rsid w:val="00A12A73"/>
    <w:rsid w:val="00A12BEE"/>
    <w:rsid w:val="00A12EE8"/>
    <w:rsid w:val="00A131A4"/>
    <w:rsid w:val="00A131F7"/>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4150"/>
    <w:rsid w:val="00A2470A"/>
    <w:rsid w:val="00A2481C"/>
    <w:rsid w:val="00A24CCF"/>
    <w:rsid w:val="00A24D28"/>
    <w:rsid w:val="00A250FE"/>
    <w:rsid w:val="00A25A28"/>
    <w:rsid w:val="00A25D12"/>
    <w:rsid w:val="00A25F85"/>
    <w:rsid w:val="00A261E4"/>
    <w:rsid w:val="00A26200"/>
    <w:rsid w:val="00A26337"/>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EE"/>
    <w:rsid w:val="00A32461"/>
    <w:rsid w:val="00A325C2"/>
    <w:rsid w:val="00A325CC"/>
    <w:rsid w:val="00A327E2"/>
    <w:rsid w:val="00A328A2"/>
    <w:rsid w:val="00A32C37"/>
    <w:rsid w:val="00A32DF4"/>
    <w:rsid w:val="00A32DF7"/>
    <w:rsid w:val="00A33248"/>
    <w:rsid w:val="00A3348D"/>
    <w:rsid w:val="00A33678"/>
    <w:rsid w:val="00A33BC8"/>
    <w:rsid w:val="00A33C3D"/>
    <w:rsid w:val="00A33C9E"/>
    <w:rsid w:val="00A33E75"/>
    <w:rsid w:val="00A341F0"/>
    <w:rsid w:val="00A34D39"/>
    <w:rsid w:val="00A3535F"/>
    <w:rsid w:val="00A35735"/>
    <w:rsid w:val="00A3583A"/>
    <w:rsid w:val="00A35A0B"/>
    <w:rsid w:val="00A35CBB"/>
    <w:rsid w:val="00A36027"/>
    <w:rsid w:val="00A362CB"/>
    <w:rsid w:val="00A3659C"/>
    <w:rsid w:val="00A36694"/>
    <w:rsid w:val="00A3747D"/>
    <w:rsid w:val="00A377EC"/>
    <w:rsid w:val="00A37922"/>
    <w:rsid w:val="00A37A59"/>
    <w:rsid w:val="00A37A76"/>
    <w:rsid w:val="00A37A8E"/>
    <w:rsid w:val="00A37E9D"/>
    <w:rsid w:val="00A37F2F"/>
    <w:rsid w:val="00A4039E"/>
    <w:rsid w:val="00A40531"/>
    <w:rsid w:val="00A40867"/>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61F"/>
    <w:rsid w:val="00A47B4B"/>
    <w:rsid w:val="00A5044D"/>
    <w:rsid w:val="00A5090D"/>
    <w:rsid w:val="00A50AED"/>
    <w:rsid w:val="00A50B00"/>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311"/>
    <w:rsid w:val="00A57C08"/>
    <w:rsid w:val="00A57F96"/>
    <w:rsid w:val="00A60100"/>
    <w:rsid w:val="00A601B7"/>
    <w:rsid w:val="00A602EE"/>
    <w:rsid w:val="00A6098D"/>
    <w:rsid w:val="00A60E31"/>
    <w:rsid w:val="00A61344"/>
    <w:rsid w:val="00A615F0"/>
    <w:rsid w:val="00A61823"/>
    <w:rsid w:val="00A61828"/>
    <w:rsid w:val="00A61CB7"/>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FC"/>
    <w:rsid w:val="00A677C1"/>
    <w:rsid w:val="00A6799D"/>
    <w:rsid w:val="00A67A8E"/>
    <w:rsid w:val="00A67AC6"/>
    <w:rsid w:val="00A67EE0"/>
    <w:rsid w:val="00A70709"/>
    <w:rsid w:val="00A70A35"/>
    <w:rsid w:val="00A7141F"/>
    <w:rsid w:val="00A718A7"/>
    <w:rsid w:val="00A71AB8"/>
    <w:rsid w:val="00A71D6B"/>
    <w:rsid w:val="00A72343"/>
    <w:rsid w:val="00A72D29"/>
    <w:rsid w:val="00A73195"/>
    <w:rsid w:val="00A734DA"/>
    <w:rsid w:val="00A73873"/>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117"/>
    <w:rsid w:val="00A8030D"/>
    <w:rsid w:val="00A806D6"/>
    <w:rsid w:val="00A80888"/>
    <w:rsid w:val="00A80E52"/>
    <w:rsid w:val="00A8135C"/>
    <w:rsid w:val="00A81633"/>
    <w:rsid w:val="00A81853"/>
    <w:rsid w:val="00A8186B"/>
    <w:rsid w:val="00A81897"/>
    <w:rsid w:val="00A81C20"/>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A0"/>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627"/>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B7EF3"/>
    <w:rsid w:val="00AC0046"/>
    <w:rsid w:val="00AC039B"/>
    <w:rsid w:val="00AC04DC"/>
    <w:rsid w:val="00AC0825"/>
    <w:rsid w:val="00AC1191"/>
    <w:rsid w:val="00AC1281"/>
    <w:rsid w:val="00AC1500"/>
    <w:rsid w:val="00AC1569"/>
    <w:rsid w:val="00AC165D"/>
    <w:rsid w:val="00AC2D4E"/>
    <w:rsid w:val="00AC2DA4"/>
    <w:rsid w:val="00AC2DAB"/>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977"/>
    <w:rsid w:val="00AD6C7F"/>
    <w:rsid w:val="00AD6D46"/>
    <w:rsid w:val="00AD70C9"/>
    <w:rsid w:val="00AD732B"/>
    <w:rsid w:val="00AD7346"/>
    <w:rsid w:val="00AD75A6"/>
    <w:rsid w:val="00AD792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D12"/>
    <w:rsid w:val="00AE6EEB"/>
    <w:rsid w:val="00AE70DE"/>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0ED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436"/>
    <w:rsid w:val="00B2757B"/>
    <w:rsid w:val="00B277AA"/>
    <w:rsid w:val="00B27BA9"/>
    <w:rsid w:val="00B27C5E"/>
    <w:rsid w:val="00B27D54"/>
    <w:rsid w:val="00B305C0"/>
    <w:rsid w:val="00B30622"/>
    <w:rsid w:val="00B311D9"/>
    <w:rsid w:val="00B31447"/>
    <w:rsid w:val="00B31D78"/>
    <w:rsid w:val="00B31E5F"/>
    <w:rsid w:val="00B32607"/>
    <w:rsid w:val="00B326BE"/>
    <w:rsid w:val="00B32821"/>
    <w:rsid w:val="00B32CE3"/>
    <w:rsid w:val="00B3331B"/>
    <w:rsid w:val="00B33393"/>
    <w:rsid w:val="00B33595"/>
    <w:rsid w:val="00B3363A"/>
    <w:rsid w:val="00B33808"/>
    <w:rsid w:val="00B3396B"/>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53"/>
    <w:rsid w:val="00B47CEF"/>
    <w:rsid w:val="00B47E6A"/>
    <w:rsid w:val="00B47F42"/>
    <w:rsid w:val="00B50164"/>
    <w:rsid w:val="00B50445"/>
    <w:rsid w:val="00B504F7"/>
    <w:rsid w:val="00B509C3"/>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758"/>
    <w:rsid w:val="00B66801"/>
    <w:rsid w:val="00B66FF7"/>
    <w:rsid w:val="00B675E5"/>
    <w:rsid w:val="00B677F6"/>
    <w:rsid w:val="00B6796C"/>
    <w:rsid w:val="00B67B2B"/>
    <w:rsid w:val="00B67D7F"/>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61F"/>
    <w:rsid w:val="00B9063D"/>
    <w:rsid w:val="00B90C55"/>
    <w:rsid w:val="00B90D7E"/>
    <w:rsid w:val="00B90DC8"/>
    <w:rsid w:val="00B91356"/>
    <w:rsid w:val="00B917B0"/>
    <w:rsid w:val="00B917BD"/>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B0528"/>
    <w:rsid w:val="00BB070E"/>
    <w:rsid w:val="00BB0B3E"/>
    <w:rsid w:val="00BB0D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FE5"/>
    <w:rsid w:val="00BD013E"/>
    <w:rsid w:val="00BD0238"/>
    <w:rsid w:val="00BD050C"/>
    <w:rsid w:val="00BD082C"/>
    <w:rsid w:val="00BD0FC4"/>
    <w:rsid w:val="00BD1255"/>
    <w:rsid w:val="00BD140B"/>
    <w:rsid w:val="00BD1624"/>
    <w:rsid w:val="00BD173D"/>
    <w:rsid w:val="00BD187A"/>
    <w:rsid w:val="00BD238C"/>
    <w:rsid w:val="00BD2A08"/>
    <w:rsid w:val="00BD2C9F"/>
    <w:rsid w:val="00BD2F55"/>
    <w:rsid w:val="00BD31F4"/>
    <w:rsid w:val="00BD3837"/>
    <w:rsid w:val="00BD386B"/>
    <w:rsid w:val="00BD3C69"/>
    <w:rsid w:val="00BD3D7A"/>
    <w:rsid w:val="00BD4235"/>
    <w:rsid w:val="00BD45AD"/>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21AD"/>
    <w:rsid w:val="00BF220D"/>
    <w:rsid w:val="00BF2372"/>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BC1"/>
    <w:rsid w:val="00C05C20"/>
    <w:rsid w:val="00C06066"/>
    <w:rsid w:val="00C0648A"/>
    <w:rsid w:val="00C06690"/>
    <w:rsid w:val="00C067A4"/>
    <w:rsid w:val="00C067FC"/>
    <w:rsid w:val="00C068C5"/>
    <w:rsid w:val="00C06BE9"/>
    <w:rsid w:val="00C0702B"/>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9CA"/>
    <w:rsid w:val="00C11C33"/>
    <w:rsid w:val="00C11C73"/>
    <w:rsid w:val="00C11FE5"/>
    <w:rsid w:val="00C11FF6"/>
    <w:rsid w:val="00C12369"/>
    <w:rsid w:val="00C1286D"/>
    <w:rsid w:val="00C12E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A5A"/>
    <w:rsid w:val="00C24CA2"/>
    <w:rsid w:val="00C24D4A"/>
    <w:rsid w:val="00C24EE5"/>
    <w:rsid w:val="00C24F74"/>
    <w:rsid w:val="00C250CF"/>
    <w:rsid w:val="00C25215"/>
    <w:rsid w:val="00C2544D"/>
    <w:rsid w:val="00C254EB"/>
    <w:rsid w:val="00C255B6"/>
    <w:rsid w:val="00C25D3A"/>
    <w:rsid w:val="00C25FDB"/>
    <w:rsid w:val="00C262F2"/>
    <w:rsid w:val="00C262FD"/>
    <w:rsid w:val="00C263AE"/>
    <w:rsid w:val="00C26871"/>
    <w:rsid w:val="00C2695A"/>
    <w:rsid w:val="00C270CE"/>
    <w:rsid w:val="00C274BE"/>
    <w:rsid w:val="00C279E2"/>
    <w:rsid w:val="00C27E0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2F35"/>
    <w:rsid w:val="00C439C5"/>
    <w:rsid w:val="00C439F0"/>
    <w:rsid w:val="00C43AC7"/>
    <w:rsid w:val="00C43CE7"/>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47F01"/>
    <w:rsid w:val="00C502C7"/>
    <w:rsid w:val="00C508B7"/>
    <w:rsid w:val="00C51D11"/>
    <w:rsid w:val="00C51EFE"/>
    <w:rsid w:val="00C5205E"/>
    <w:rsid w:val="00C521DF"/>
    <w:rsid w:val="00C523BE"/>
    <w:rsid w:val="00C52508"/>
    <w:rsid w:val="00C5257E"/>
    <w:rsid w:val="00C52A05"/>
    <w:rsid w:val="00C52A41"/>
    <w:rsid w:val="00C52A73"/>
    <w:rsid w:val="00C531B4"/>
    <w:rsid w:val="00C532F9"/>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781D"/>
    <w:rsid w:val="00C87E17"/>
    <w:rsid w:val="00C87F65"/>
    <w:rsid w:val="00C90188"/>
    <w:rsid w:val="00C901A9"/>
    <w:rsid w:val="00C90532"/>
    <w:rsid w:val="00C905AC"/>
    <w:rsid w:val="00C90663"/>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C81"/>
    <w:rsid w:val="00C94C87"/>
    <w:rsid w:val="00C94E45"/>
    <w:rsid w:val="00C951E5"/>
    <w:rsid w:val="00C95300"/>
    <w:rsid w:val="00C95418"/>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67"/>
    <w:rsid w:val="00CC5BD2"/>
    <w:rsid w:val="00CC5E0D"/>
    <w:rsid w:val="00CC606C"/>
    <w:rsid w:val="00CC6B0F"/>
    <w:rsid w:val="00CC6C02"/>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B3E"/>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28D"/>
    <w:rsid w:val="00CD6814"/>
    <w:rsid w:val="00CD6E0B"/>
    <w:rsid w:val="00CD7597"/>
    <w:rsid w:val="00CD787F"/>
    <w:rsid w:val="00CE025E"/>
    <w:rsid w:val="00CE030D"/>
    <w:rsid w:val="00CE03B6"/>
    <w:rsid w:val="00CE05F2"/>
    <w:rsid w:val="00CE0A92"/>
    <w:rsid w:val="00CE0B01"/>
    <w:rsid w:val="00CE0CBF"/>
    <w:rsid w:val="00CE0FBF"/>
    <w:rsid w:val="00CE10D5"/>
    <w:rsid w:val="00CE1116"/>
    <w:rsid w:val="00CE112E"/>
    <w:rsid w:val="00CE1162"/>
    <w:rsid w:val="00CE1225"/>
    <w:rsid w:val="00CE132D"/>
    <w:rsid w:val="00CE152F"/>
    <w:rsid w:val="00CE18E8"/>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678"/>
    <w:rsid w:val="00CF5D87"/>
    <w:rsid w:val="00CF6121"/>
    <w:rsid w:val="00CF61A3"/>
    <w:rsid w:val="00CF623B"/>
    <w:rsid w:val="00CF66DE"/>
    <w:rsid w:val="00CF6848"/>
    <w:rsid w:val="00CF6AF3"/>
    <w:rsid w:val="00CF6C9A"/>
    <w:rsid w:val="00CF6F64"/>
    <w:rsid w:val="00CF7502"/>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D66"/>
    <w:rsid w:val="00D07DCA"/>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5260"/>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F77"/>
    <w:rsid w:val="00D2109E"/>
    <w:rsid w:val="00D215E6"/>
    <w:rsid w:val="00D2171B"/>
    <w:rsid w:val="00D217CE"/>
    <w:rsid w:val="00D21810"/>
    <w:rsid w:val="00D220DF"/>
    <w:rsid w:val="00D22148"/>
    <w:rsid w:val="00D22406"/>
    <w:rsid w:val="00D22522"/>
    <w:rsid w:val="00D225C3"/>
    <w:rsid w:val="00D2265B"/>
    <w:rsid w:val="00D22D2B"/>
    <w:rsid w:val="00D23556"/>
    <w:rsid w:val="00D2390D"/>
    <w:rsid w:val="00D23B89"/>
    <w:rsid w:val="00D23CE2"/>
    <w:rsid w:val="00D23EAA"/>
    <w:rsid w:val="00D23F36"/>
    <w:rsid w:val="00D2424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B1"/>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C2D"/>
    <w:rsid w:val="00D404CE"/>
    <w:rsid w:val="00D40BE3"/>
    <w:rsid w:val="00D40E25"/>
    <w:rsid w:val="00D40E78"/>
    <w:rsid w:val="00D41009"/>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40D2"/>
    <w:rsid w:val="00D4429F"/>
    <w:rsid w:val="00D44336"/>
    <w:rsid w:val="00D444C3"/>
    <w:rsid w:val="00D445A8"/>
    <w:rsid w:val="00D448BD"/>
    <w:rsid w:val="00D44A5C"/>
    <w:rsid w:val="00D453F7"/>
    <w:rsid w:val="00D45581"/>
    <w:rsid w:val="00D458AB"/>
    <w:rsid w:val="00D45C69"/>
    <w:rsid w:val="00D45D57"/>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525"/>
    <w:rsid w:val="00D61B4E"/>
    <w:rsid w:val="00D62243"/>
    <w:rsid w:val="00D622BE"/>
    <w:rsid w:val="00D624A5"/>
    <w:rsid w:val="00D626BF"/>
    <w:rsid w:val="00D6278F"/>
    <w:rsid w:val="00D62949"/>
    <w:rsid w:val="00D629A1"/>
    <w:rsid w:val="00D62DEC"/>
    <w:rsid w:val="00D6394E"/>
    <w:rsid w:val="00D63BAD"/>
    <w:rsid w:val="00D63C5F"/>
    <w:rsid w:val="00D6410E"/>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6FCF"/>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427"/>
    <w:rsid w:val="00DB749A"/>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9F0"/>
    <w:rsid w:val="00DD3B4D"/>
    <w:rsid w:val="00DD3B9B"/>
    <w:rsid w:val="00DD3BDC"/>
    <w:rsid w:val="00DD4147"/>
    <w:rsid w:val="00DD49D3"/>
    <w:rsid w:val="00DD4D7C"/>
    <w:rsid w:val="00DD5A32"/>
    <w:rsid w:val="00DD623F"/>
    <w:rsid w:val="00DD6396"/>
    <w:rsid w:val="00DD654D"/>
    <w:rsid w:val="00DD6AAE"/>
    <w:rsid w:val="00DD6C70"/>
    <w:rsid w:val="00DD6CED"/>
    <w:rsid w:val="00DD6DA2"/>
    <w:rsid w:val="00DD7341"/>
    <w:rsid w:val="00DD761C"/>
    <w:rsid w:val="00DD7DF3"/>
    <w:rsid w:val="00DE0171"/>
    <w:rsid w:val="00DE0264"/>
    <w:rsid w:val="00DE0333"/>
    <w:rsid w:val="00DE044F"/>
    <w:rsid w:val="00DE0558"/>
    <w:rsid w:val="00DE0831"/>
    <w:rsid w:val="00DE183E"/>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0"/>
    <w:rsid w:val="00DE6A0F"/>
    <w:rsid w:val="00DE6A5A"/>
    <w:rsid w:val="00DE6AE9"/>
    <w:rsid w:val="00DE7012"/>
    <w:rsid w:val="00DE7D03"/>
    <w:rsid w:val="00DE7E42"/>
    <w:rsid w:val="00DE7F96"/>
    <w:rsid w:val="00DF02EC"/>
    <w:rsid w:val="00DF0D33"/>
    <w:rsid w:val="00DF0E63"/>
    <w:rsid w:val="00DF0FE6"/>
    <w:rsid w:val="00DF1300"/>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469"/>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93F"/>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A3E"/>
    <w:rsid w:val="00E41AB9"/>
    <w:rsid w:val="00E41D2F"/>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CBA"/>
    <w:rsid w:val="00E67551"/>
    <w:rsid w:val="00E676A6"/>
    <w:rsid w:val="00E67829"/>
    <w:rsid w:val="00E6784E"/>
    <w:rsid w:val="00E67953"/>
    <w:rsid w:val="00E67968"/>
    <w:rsid w:val="00E67D67"/>
    <w:rsid w:val="00E67E2F"/>
    <w:rsid w:val="00E701EB"/>
    <w:rsid w:val="00E705E5"/>
    <w:rsid w:val="00E705E8"/>
    <w:rsid w:val="00E70B0C"/>
    <w:rsid w:val="00E70D06"/>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E0D"/>
    <w:rsid w:val="00E81F9F"/>
    <w:rsid w:val="00E81FFC"/>
    <w:rsid w:val="00E82527"/>
    <w:rsid w:val="00E82608"/>
    <w:rsid w:val="00E826C8"/>
    <w:rsid w:val="00E828DA"/>
    <w:rsid w:val="00E8290C"/>
    <w:rsid w:val="00E83280"/>
    <w:rsid w:val="00E832C9"/>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1B2"/>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1705"/>
    <w:rsid w:val="00EB1832"/>
    <w:rsid w:val="00EB1D4D"/>
    <w:rsid w:val="00EB1E07"/>
    <w:rsid w:val="00EB1E25"/>
    <w:rsid w:val="00EB1F80"/>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6FE"/>
    <w:rsid w:val="00EB4A13"/>
    <w:rsid w:val="00EB534C"/>
    <w:rsid w:val="00EB53A5"/>
    <w:rsid w:val="00EB55D2"/>
    <w:rsid w:val="00EB57E7"/>
    <w:rsid w:val="00EB593E"/>
    <w:rsid w:val="00EB5A62"/>
    <w:rsid w:val="00EB5CC3"/>
    <w:rsid w:val="00EB6440"/>
    <w:rsid w:val="00EB6698"/>
    <w:rsid w:val="00EB6763"/>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F1A"/>
    <w:rsid w:val="00EC5FD9"/>
    <w:rsid w:val="00EC6337"/>
    <w:rsid w:val="00EC66D7"/>
    <w:rsid w:val="00EC6D68"/>
    <w:rsid w:val="00EC7183"/>
    <w:rsid w:val="00EC71AB"/>
    <w:rsid w:val="00EC7BC5"/>
    <w:rsid w:val="00ED022F"/>
    <w:rsid w:val="00ED05DE"/>
    <w:rsid w:val="00ED0BEF"/>
    <w:rsid w:val="00ED0DE8"/>
    <w:rsid w:val="00ED0E32"/>
    <w:rsid w:val="00ED0EB9"/>
    <w:rsid w:val="00ED1447"/>
    <w:rsid w:val="00ED17AF"/>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51"/>
    <w:rsid w:val="00F04B22"/>
    <w:rsid w:val="00F04D51"/>
    <w:rsid w:val="00F04F3E"/>
    <w:rsid w:val="00F0522E"/>
    <w:rsid w:val="00F056C8"/>
    <w:rsid w:val="00F05B91"/>
    <w:rsid w:val="00F05D2D"/>
    <w:rsid w:val="00F05EED"/>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7CE"/>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25D"/>
    <w:rsid w:val="00F42910"/>
    <w:rsid w:val="00F42C2B"/>
    <w:rsid w:val="00F439C5"/>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56A5"/>
    <w:rsid w:val="00F75D1A"/>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1CB"/>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748"/>
    <w:rsid w:val="00FA6A4B"/>
    <w:rsid w:val="00FA6A8C"/>
    <w:rsid w:val="00FA6B41"/>
    <w:rsid w:val="00FA6BE1"/>
    <w:rsid w:val="00FA6D2E"/>
    <w:rsid w:val="00FA70DF"/>
    <w:rsid w:val="00FA7152"/>
    <w:rsid w:val="00FA7A20"/>
    <w:rsid w:val="00FA7AA6"/>
    <w:rsid w:val="00FA7B91"/>
    <w:rsid w:val="00FA7C04"/>
    <w:rsid w:val="00FB009F"/>
    <w:rsid w:val="00FB0443"/>
    <w:rsid w:val="00FB11DB"/>
    <w:rsid w:val="00FB1434"/>
    <w:rsid w:val="00FB1559"/>
    <w:rsid w:val="00FB15D5"/>
    <w:rsid w:val="00FB15DE"/>
    <w:rsid w:val="00FB1694"/>
    <w:rsid w:val="00FB18E8"/>
    <w:rsid w:val="00FB19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7DD"/>
    <w:rsid w:val="00FB68CE"/>
    <w:rsid w:val="00FB6B9D"/>
    <w:rsid w:val="00FB6C5F"/>
    <w:rsid w:val="00FB6C8C"/>
    <w:rsid w:val="00FB72CB"/>
    <w:rsid w:val="00FB77BB"/>
    <w:rsid w:val="00FB78E3"/>
    <w:rsid w:val="00FB7A9C"/>
    <w:rsid w:val="00FB7B41"/>
    <w:rsid w:val="00FC0080"/>
    <w:rsid w:val="00FC0169"/>
    <w:rsid w:val="00FC03AD"/>
    <w:rsid w:val="00FC0AB4"/>
    <w:rsid w:val="00FC0B9B"/>
    <w:rsid w:val="00FC0E12"/>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DDB"/>
    <w:rsid w:val="00FC651A"/>
    <w:rsid w:val="00FC65A0"/>
    <w:rsid w:val="00FC6B41"/>
    <w:rsid w:val="00FC6EF1"/>
    <w:rsid w:val="00FC7308"/>
    <w:rsid w:val="00FC735B"/>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3B54"/>
    <w:rsid w:val="00FE40B3"/>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5340619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3A70D463-638F-4229-AE22-8C1B7D5E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4023</TotalTime>
  <Pages>4</Pages>
  <Words>1396</Words>
  <Characters>6499</Characters>
  <Application>Microsoft Office Word</Application>
  <DocSecurity>0</DocSecurity>
  <Lines>234</Lines>
  <Paragraphs>183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7799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357</cp:revision>
  <cp:lastPrinted>2011-11-09T07:49:00Z</cp:lastPrinted>
  <dcterms:created xsi:type="dcterms:W3CDTF">2018-11-02T18:38:00Z</dcterms:created>
  <dcterms:modified xsi:type="dcterms:W3CDTF">2019-02-15T18:34:00Z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8ec7074a-1535-45ad-b7b0-ba0cd11f1c68</vt:lpwstr>
  </property>
  <property fmtid="{D5CDD505-2E9C-101B-9397-08002B2CF9AE}" pid="10" name="CTP_BU">
    <vt:lpwstr>NEXT GEN &amp; STANDARDS GROUP</vt:lpwstr>
  </property>
  <property fmtid="{D5CDD505-2E9C-101B-9397-08002B2CF9AE}" pid="11" name="CTP_TimeStamp">
    <vt:lpwstr>2019-02-15 18:34:58Z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